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925581">
        <w:rPr>
          <w:rFonts w:eastAsia="Century Gothic"/>
          <w:b/>
          <w:lang w:val="en-CA"/>
        </w:rPr>
        <w:t>anagelsic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EA1E82" w:rsidP="00B906ED">
      <w:pPr>
        <w:ind w:left="720"/>
        <w:rPr>
          <w:rFonts w:eastAsia="Century Gothic"/>
          <w:lang w:val="en-CA"/>
        </w:rPr>
      </w:pPr>
      <w:r w:rsidRPr="00EA1E82">
        <w:rPr>
          <w:b/>
          <w:lang w:val="en-CA"/>
        </w:rPr>
        <w:t>Gl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capr</w:t>
      </w:r>
      <w:r>
        <w:rPr>
          <w:b/>
          <w:lang w:val="en-CA"/>
        </w:rPr>
        <w:t>e</w:t>
      </w:r>
      <w:r w:rsidRPr="00EA1E82">
        <w:rPr>
          <w:b/>
          <w:lang w:val="en-CA"/>
        </w:rPr>
        <w:t>vir/Pibrentasvir (Maviret)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A91CBC" w:rsidRPr="00A91CBC">
        <w:rPr>
          <w:rFonts w:eastAsia="Century Gothic"/>
          <w:lang w:val="en-CA"/>
        </w:rPr>
        <w:t>Fentanyl (Fentora)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A91CBC">
        <w:rPr>
          <w:rFonts w:eastAsia="Century Gothic"/>
          <w:lang w:val="en-CA"/>
        </w:rPr>
        <w:t>analgesic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above. </w:t>
      </w:r>
      <w:r w:rsidR="00A91CBC">
        <w:rPr>
          <w:rFonts w:eastAsia="Century Gothic"/>
          <w:lang w:val="en-CA"/>
        </w:rPr>
        <w:t xml:space="preserve">Fentanyl is </w:t>
      </w:r>
      <w:r w:rsidR="00A91CBC" w:rsidRPr="00A91CBC">
        <w:rPr>
          <w:rFonts w:eastAsia="Century Gothic"/>
          <w:lang w:val="en-CA"/>
        </w:rPr>
        <w:t>a CYP 3A4 substrate th</w:t>
      </w:r>
      <w:r w:rsidR="00A91CBC">
        <w:rPr>
          <w:rFonts w:eastAsia="Century Gothic"/>
          <w:lang w:val="en-CA"/>
        </w:rPr>
        <w:t>at is inhibited by some anti-HC</w:t>
      </w:r>
      <w:r w:rsidR="002B2DB7" w:rsidRPr="002B2DB7">
        <w:rPr>
          <w:rFonts w:eastAsia="Century Gothic"/>
          <w:lang w:val="en-CA"/>
        </w:rPr>
        <w:t>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EA1E82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EA1E82">
        <w:rPr>
          <w:rFonts w:eastAsia="Century Gothic"/>
          <w:b/>
          <w:i/>
          <w:lang w:val="en-CA"/>
        </w:rPr>
        <w:t>Glecaprevir/Pibrentasvir (Maviret)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A91CBC">
        <w:rPr>
          <w:rFonts w:eastAsia="Century Gothic"/>
          <w:b/>
          <w:i/>
          <w:lang w:val="en-CA"/>
        </w:rPr>
        <w:t>Fentanyl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A91CBC" w:rsidRPr="00A91CBC" w:rsidRDefault="00EA1E82" w:rsidP="00A91CBC">
      <w:pPr>
        <w:jc w:val="both"/>
        <w:rPr>
          <w:rFonts w:eastAsia="Century Gothic"/>
          <w:lang w:val="en-CA"/>
        </w:rPr>
      </w:pPr>
      <w:r w:rsidRPr="00925581">
        <w:rPr>
          <w:rFonts w:eastAsia="Century Gothic"/>
          <w:lang w:val="en-CA"/>
        </w:rPr>
        <w:t>Glecaprevir/Pibrentasvir (Maviret)</w:t>
      </w:r>
      <w:r w:rsidR="00510D1C" w:rsidRPr="00925581">
        <w:rPr>
          <w:rFonts w:eastAsia="Century Gothic"/>
          <w:lang w:val="en-CA"/>
        </w:rPr>
        <w:t xml:space="preserve"> </w:t>
      </w:r>
      <w:r w:rsidR="00A91CBC" w:rsidRPr="00A91CBC">
        <w:rPr>
          <w:rFonts w:eastAsia="Century Gothic"/>
          <w:lang w:val="en-CA"/>
        </w:rPr>
        <w:t>is a weak inhibitor of CYP 3A4. Administration with midazolam did not show a clinically significant increase.</w:t>
      </w:r>
    </w:p>
    <w:p w:rsidR="00A91CBC" w:rsidRPr="00A91CBC" w:rsidRDefault="00A91CBC" w:rsidP="00A91CBC">
      <w:pPr>
        <w:jc w:val="both"/>
        <w:rPr>
          <w:rFonts w:eastAsia="Century Gothic"/>
          <w:lang w:val="en-CA"/>
        </w:rPr>
      </w:pPr>
    </w:p>
    <w:p w:rsidR="00B906ED" w:rsidRPr="00BE7B9D" w:rsidRDefault="00A91CBC" w:rsidP="00A91CBC">
      <w:pPr>
        <w:jc w:val="both"/>
        <w:rPr>
          <w:lang w:val="en-CA"/>
        </w:rPr>
      </w:pPr>
      <w:r w:rsidRPr="00A91CBC">
        <w:rPr>
          <w:rFonts w:eastAsia="Century Gothic"/>
          <w:lang w:val="en-CA"/>
        </w:rPr>
        <w:t>Administration with fentanyl has not been studied, but since fentanyl has a narrow therapeutic index, concomitant use especially with illicit fentanyl use could have serious consequences for the patient. Indeed, high concentrations of fentanyl following drug interactions are associated with a risk of</w:t>
      </w:r>
      <w:r>
        <w:rPr>
          <w:rFonts w:eastAsia="Century Gothic"/>
          <w:lang w:val="en-CA"/>
        </w:rPr>
        <w:t xml:space="preserve"> respiratory distress and death</w:t>
      </w:r>
      <w:r w:rsidR="00510D1C" w:rsidRPr="00510D1C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A91CBC" w:rsidRDefault="001375FF" w:rsidP="00B906ED">
      <w:pPr>
        <w:tabs>
          <w:tab w:val="left" w:pos="1965"/>
        </w:tabs>
        <w:rPr>
          <w:rFonts w:eastAsia="Century Gothic"/>
          <w:lang w:val="fr-CA"/>
        </w:rPr>
      </w:pPr>
      <w:r w:rsidRPr="00A91CBC">
        <w:rPr>
          <w:rFonts w:eastAsia="Century Gothic"/>
          <w:u w:val="single"/>
          <w:lang w:val="fr-CA"/>
        </w:rPr>
        <w:t>Possible therapeutic options</w:t>
      </w:r>
      <w:r w:rsidR="00B906ED" w:rsidRPr="00A91CBC">
        <w:rPr>
          <w:rFonts w:eastAsia="Century Gothic"/>
          <w:u w:val="single"/>
          <w:lang w:val="fr-CA"/>
        </w:rPr>
        <w:t>:</w:t>
      </w:r>
      <w:r w:rsidR="00B906ED" w:rsidRPr="00A91CBC">
        <w:rPr>
          <w:rFonts w:eastAsia="Century Gothic"/>
          <w:lang w:val="fr-CA"/>
        </w:rPr>
        <w:t xml:space="preserve">    </w:t>
      </w:r>
    </w:p>
    <w:p w:rsidR="0085285F" w:rsidRPr="00A91CBC" w:rsidRDefault="0085285F" w:rsidP="00B906ED">
      <w:pPr>
        <w:tabs>
          <w:tab w:val="left" w:pos="1965"/>
        </w:tabs>
        <w:rPr>
          <w:rFonts w:eastAsia="Century Gothic"/>
          <w:lang w:val="fr-CA"/>
        </w:rPr>
      </w:pPr>
    </w:p>
    <w:p w:rsidR="00A91CBC" w:rsidRPr="00675C34" w:rsidRDefault="00A91CBC" w:rsidP="00A91CBC">
      <w:pPr>
        <w:jc w:val="both"/>
        <w:rPr>
          <w:rFonts w:eastAsia="Century Gothic"/>
          <w:b/>
          <w:i/>
          <w:lang w:val="fr-CA"/>
        </w:rPr>
      </w:pPr>
      <w:r w:rsidRPr="00675C34">
        <w:rPr>
          <w:rFonts w:eastAsia="Century Gothic"/>
          <w:b/>
          <w:i/>
          <w:lang w:val="fr-CA"/>
        </w:rPr>
        <w:t xml:space="preserve">Fentanyl : </w:t>
      </w:r>
    </w:p>
    <w:p w:rsidR="00A91CBC" w:rsidRPr="00A91CBC" w:rsidRDefault="00A91CBC" w:rsidP="00A91CBC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eastAsia="Century Gothic"/>
          <w:color w:val="000000"/>
          <w:lang w:val="en-CA"/>
        </w:rPr>
      </w:pPr>
      <w:r w:rsidRPr="00A91CBC">
        <w:rPr>
          <w:rFonts w:eastAsia="Century Gothic"/>
          <w:color w:val="000000"/>
          <w:lang w:val="en-CA"/>
        </w:rPr>
        <w:t>*</w:t>
      </w:r>
      <w:r w:rsidRPr="00A91CBC">
        <w:t xml:space="preserve"> </w:t>
      </w:r>
      <w:r w:rsidRPr="00A91CBC">
        <w:rPr>
          <w:rFonts w:eastAsia="Century Gothic"/>
          <w:color w:val="000000"/>
          <w:lang w:val="en-CA"/>
        </w:rPr>
        <w:t>Fentanyl not recommended with CYP 3A4 inhibitors according to the product monograph</w:t>
      </w:r>
      <w:r>
        <w:rPr>
          <w:rFonts w:eastAsia="Century Gothic"/>
          <w:color w:val="000000"/>
          <w:lang w:val="en-CA"/>
        </w:rPr>
        <w:t xml:space="preserve"> </w:t>
      </w:r>
      <w:r w:rsidRPr="00A91CBC">
        <w:rPr>
          <w:rFonts w:eastAsia="Century Gothic"/>
          <w:color w:val="000000"/>
          <w:lang w:val="en-CA"/>
        </w:rPr>
        <w:t>*</w:t>
      </w: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color w:val="4B4B4B"/>
          <w:lang w:val="en-CA"/>
        </w:rPr>
        <w:t xml:space="preserve">If the patient is already on fentanyl </w:t>
      </w:r>
      <w:r>
        <w:rPr>
          <w:rFonts w:eastAsia="Century Gothic"/>
          <w:i/>
          <w:color w:val="4B4B4B"/>
          <w:lang w:val="en-CA"/>
        </w:rPr>
        <w:t>and treatment with Glecaprevir/</w:t>
      </w:r>
      <w:r w:rsidRPr="00A91CBC">
        <w:rPr>
          <w:rFonts w:eastAsia="Century Gothic"/>
          <w:i/>
          <w:color w:val="4B4B4B"/>
          <w:lang w:val="en-CA"/>
        </w:rPr>
        <w:t>Pibrentasvir (Maviret) is started</w:t>
      </w:r>
      <w:r w:rsidRPr="00A91CBC">
        <w:rPr>
          <w:rFonts w:eastAsia="Century Gothic"/>
          <w:i/>
          <w:color w:val="4B4B4B"/>
          <w:lang w:val="en-CA"/>
        </w:rPr>
        <w:t>. </w:t>
      </w:r>
    </w:p>
    <w:p w:rsidR="00A91CBC" w:rsidRPr="00A91CBC" w:rsidRDefault="00A91CBC" w:rsidP="00A91C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A91CBC">
        <w:rPr>
          <w:rFonts w:eastAsia="Century Gothic"/>
          <w:color w:val="000000"/>
          <w:lang w:val="fr-CA"/>
        </w:rPr>
        <w:t>Stop the fentanyl patch (ideally 48 hours before starting antiretrovirals) and, 8 hours after stopping fentanyl, start the replacement analgesic (morphine or hydromorphone) with 60-75% of the converted dose of fentanyl.</w:t>
      </w:r>
    </w:p>
    <w:p w:rsidR="00A91CBC" w:rsidRPr="00A91CBC" w:rsidRDefault="00A91CBC" w:rsidP="00A91C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A91CBC">
        <w:rPr>
          <w:rFonts w:eastAsia="Century Gothic"/>
          <w:color w:val="000000"/>
          <w:lang w:val="en-CA"/>
        </w:rPr>
        <w:t>If the fentanyl patch cannot be replaced by morphine or hydromorphone, ideally remove the patch that is in place, wait 8 hours, then start with a reduced dose of fentanyl (suggested to decrease to 50% of the dose) and monitor closely to assess tolerance and titrate the dose</w:t>
      </w:r>
      <w:r w:rsidRPr="00A91CBC">
        <w:rPr>
          <w:rFonts w:eastAsia="Century Gothic"/>
          <w:color w:val="000000"/>
          <w:lang w:val="en-CA"/>
        </w:rPr>
        <w:t xml:space="preserve">. </w:t>
      </w:r>
    </w:p>
    <w:p w:rsidR="00A91CBC" w:rsidRPr="00A91CBC" w:rsidRDefault="00A91CBC" w:rsidP="00A91CB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 Gothic"/>
          <w:lang w:val="en-CA"/>
        </w:rPr>
      </w:pP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color w:val="4B4B4B"/>
          <w:lang w:val="en-CA"/>
        </w:rPr>
        <w:t xml:space="preserve">If fentanyl is added to </w:t>
      </w:r>
      <w:r>
        <w:rPr>
          <w:rFonts w:eastAsia="Century Gothic"/>
          <w:i/>
          <w:color w:val="4B4B4B"/>
          <w:lang w:val="en-CA"/>
        </w:rPr>
        <w:t xml:space="preserve">an </w:t>
      </w:r>
      <w:r w:rsidRPr="00A91CBC">
        <w:rPr>
          <w:rFonts w:eastAsia="Century Gothic"/>
          <w:i/>
          <w:color w:val="4B4B4B"/>
          <w:lang w:val="en-CA"/>
        </w:rPr>
        <w:t xml:space="preserve">already existing </w:t>
      </w:r>
      <w:r w:rsidRPr="00A91CBC">
        <w:rPr>
          <w:rFonts w:eastAsia="Century Gothic"/>
          <w:i/>
          <w:color w:val="4B4B4B"/>
          <w:lang w:val="en-CA"/>
        </w:rPr>
        <w:t xml:space="preserve">treatment with </w:t>
      </w:r>
      <w:r>
        <w:rPr>
          <w:rFonts w:eastAsia="Century Gothic"/>
          <w:i/>
          <w:color w:val="4B4B4B"/>
          <w:lang w:val="en-CA"/>
        </w:rPr>
        <w:t>Glecaprevir/</w:t>
      </w:r>
      <w:r w:rsidRPr="00A91CBC">
        <w:rPr>
          <w:rFonts w:eastAsia="Century Gothic"/>
          <w:i/>
          <w:color w:val="4B4B4B"/>
          <w:lang w:val="en-CA"/>
        </w:rPr>
        <w:t>Pibrentasvir (Maviret)</w:t>
      </w:r>
      <w:r w:rsidRPr="00A91CBC">
        <w:rPr>
          <w:rFonts w:eastAsia="Century Gothic"/>
          <w:i/>
          <w:lang w:val="en-CA"/>
        </w:rPr>
        <w:t>.</w:t>
      </w:r>
    </w:p>
    <w:p w:rsidR="00A91CBC" w:rsidRPr="00A91CBC" w:rsidRDefault="00A91CBC" w:rsidP="00A91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A91CBC">
        <w:rPr>
          <w:rFonts w:eastAsia="Century Gothic"/>
          <w:color w:val="000000"/>
          <w:lang w:val="en-CA"/>
        </w:rPr>
        <w:t>Start with the lowest possible dose and titrate according to tolerance and efficacy</w:t>
      </w:r>
      <w:r w:rsidRPr="00A91CBC">
        <w:rPr>
          <w:rFonts w:eastAsia="Century Gothic"/>
          <w:color w:val="000000"/>
          <w:lang w:val="en-CA"/>
        </w:rPr>
        <w:t>.</w:t>
      </w:r>
    </w:p>
    <w:p w:rsidR="00A91CBC" w:rsidRDefault="00A91CBC" w:rsidP="00A91CB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1" w:name="_gjdgxs" w:colFirst="0" w:colLast="0"/>
      <w:bookmarkEnd w:id="1"/>
      <w:r>
        <w:rPr>
          <w:rFonts w:eastAsia="Century Gothic"/>
          <w:color w:val="000000"/>
        </w:rPr>
        <w:t>Alternative</w:t>
      </w:r>
      <w:r>
        <w:rPr>
          <w:rFonts w:eastAsia="Century Gothic"/>
          <w:color w:val="000000"/>
        </w:rPr>
        <w:t> :</w:t>
      </w:r>
    </w:p>
    <w:p w:rsidR="00A91CBC" w:rsidRDefault="00A91CBC" w:rsidP="00A91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Hydromorphone </w:t>
      </w:r>
    </w:p>
    <w:p w:rsidR="00A91CBC" w:rsidRDefault="00A91CBC" w:rsidP="00A91C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Morphine </w:t>
      </w:r>
    </w:p>
    <w:p w:rsidR="00A91CBC" w:rsidRDefault="00A91CBC" w:rsidP="00A91CBC">
      <w:pPr>
        <w:jc w:val="both"/>
        <w:rPr>
          <w:rFonts w:eastAsia="Century Gothic"/>
        </w:rPr>
      </w:pPr>
    </w:p>
    <w:p w:rsidR="00A91CBC" w:rsidRPr="00A91CBC" w:rsidRDefault="00A91CBC" w:rsidP="00A91CBC">
      <w:pPr>
        <w:jc w:val="both"/>
        <w:rPr>
          <w:rFonts w:eastAsia="Century Gothic"/>
          <w:i/>
          <w:lang w:val="en-CA"/>
        </w:rPr>
      </w:pPr>
      <w:r w:rsidRPr="00A91CBC">
        <w:rPr>
          <w:rFonts w:eastAsia="Century Gothic"/>
          <w:i/>
          <w:lang w:val="en-CA"/>
        </w:rPr>
        <w:t>Patients currently under treatment with this combination and tolerating it.</w:t>
      </w:r>
      <w:r w:rsidRPr="00A91CBC">
        <w:rPr>
          <w:rFonts w:eastAsia="Century Gothic"/>
          <w:i/>
          <w:lang w:val="en-CA"/>
        </w:rPr>
        <w:t xml:space="preserve"> </w:t>
      </w:r>
    </w:p>
    <w:p w:rsidR="00A91CBC" w:rsidRPr="00675C34" w:rsidRDefault="00DA6E10" w:rsidP="00DA6E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DA6E10">
        <w:rPr>
          <w:rFonts w:eastAsia="Century Gothic"/>
          <w:color w:val="000000"/>
          <w:lang w:val="fr-CA"/>
        </w:rPr>
        <w:t>Closely monitor side effects</w:t>
      </w:r>
      <w:r w:rsidR="00A91CBC" w:rsidRPr="00675C34">
        <w:rPr>
          <w:rFonts w:eastAsia="Century Gothic"/>
          <w:color w:val="000000"/>
          <w:lang w:val="fr-CA"/>
        </w:rPr>
        <w:t>.</w:t>
      </w:r>
    </w:p>
    <w:p w:rsidR="00A91CBC" w:rsidRPr="00675C34" w:rsidRDefault="00A91CBC" w:rsidP="00A91CBC">
      <w:pPr>
        <w:jc w:val="both"/>
        <w:rPr>
          <w:rFonts w:eastAsia="Century Gothic"/>
          <w:b/>
          <w:color w:val="000000"/>
          <w:lang w:val="fr-CA"/>
        </w:rPr>
      </w:pPr>
    </w:p>
    <w:p w:rsidR="00A91CBC" w:rsidRPr="00675C34" w:rsidRDefault="00A91CBC" w:rsidP="00A91CBC">
      <w:pPr>
        <w:jc w:val="both"/>
        <w:rPr>
          <w:rFonts w:eastAsia="Century Gothic"/>
          <w:b/>
          <w:lang w:val="fr-CA"/>
        </w:rPr>
      </w:pPr>
      <w:r w:rsidRPr="00A91CBC">
        <w:rPr>
          <w:rFonts w:eastAsia="Century Gothic"/>
          <w:b/>
          <w:lang w:val="fr-CA"/>
        </w:rPr>
        <w:t>Alternatives or in addition</w:t>
      </w:r>
      <w:r w:rsidRPr="00675C34">
        <w:rPr>
          <w:rFonts w:eastAsia="Century Gothic"/>
          <w:b/>
          <w:lang w:val="fr-CA"/>
        </w:rPr>
        <w:t>.</w:t>
      </w:r>
    </w:p>
    <w:p w:rsidR="00A91CBC" w:rsidRPr="00DA6E10" w:rsidRDefault="00A91CBC" w:rsidP="00A91CB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t>Tyl</w:t>
      </w:r>
      <w:r w:rsidRPr="00DA6E10">
        <w:rPr>
          <w:rFonts w:eastAsia="Century Gothic"/>
          <w:color w:val="000000"/>
          <w:lang w:val="en-CA"/>
        </w:rPr>
        <w:t>e</w:t>
      </w:r>
      <w:r w:rsidRPr="00DA6E10">
        <w:rPr>
          <w:rFonts w:eastAsia="Century Gothic"/>
          <w:color w:val="000000"/>
          <w:lang w:val="en-CA"/>
        </w:rPr>
        <w:t>nol</w:t>
      </w:r>
      <w:r w:rsidRPr="00DA6E10">
        <w:rPr>
          <w:rFonts w:eastAsia="Century Gothic"/>
          <w:lang w:val="en-CA"/>
        </w:rPr>
        <w:t xml:space="preserve">, </w:t>
      </w:r>
      <w:r w:rsidRPr="00DA6E10">
        <w:rPr>
          <w:rFonts w:eastAsia="Century Gothic"/>
          <w:color w:val="000000"/>
          <w:lang w:val="en-CA"/>
        </w:rPr>
        <w:t>NSAIDs or co-analgesia</w:t>
      </w:r>
      <w:r w:rsidR="00DA6E10" w:rsidRPr="00DA6E10">
        <w:rPr>
          <w:rFonts w:eastAsia="Century Gothic"/>
          <w:color w:val="000000"/>
          <w:lang w:val="en-CA"/>
        </w:rPr>
        <w:t>.</w:t>
      </w:r>
    </w:p>
    <w:p w:rsidR="00DA6E10" w:rsidRDefault="00DA6E10" w:rsidP="00DA6E1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eastAsia="Century Gothic"/>
          <w:color w:val="000000"/>
          <w:lang w:val="en-CA"/>
        </w:rPr>
      </w:pPr>
    </w:p>
    <w:p w:rsidR="00DA6E10" w:rsidRDefault="00DA6E10" w:rsidP="00DA6E10">
      <w:pPr>
        <w:rPr>
          <w:rFonts w:eastAsia="Century Gothic"/>
          <w:b/>
        </w:rPr>
      </w:pPr>
      <w:r>
        <w:rPr>
          <w:rFonts w:eastAsia="Century Gothic"/>
          <w:b/>
        </w:rPr>
        <w:t>Follow up</w:t>
      </w:r>
      <w:r>
        <w:rPr>
          <w:rFonts w:eastAsia="Century Gothic"/>
          <w:b/>
        </w:rPr>
        <w:t xml:space="preserve"> : </w:t>
      </w:r>
    </w:p>
    <w:p w:rsid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 w:rsidRPr="00DA6E10">
        <w:rPr>
          <w:rFonts w:eastAsia="Century Gothic"/>
          <w:color w:val="000000"/>
        </w:rPr>
        <w:t xml:space="preserve">Monitor </w:t>
      </w:r>
      <w:r>
        <w:rPr>
          <w:rFonts w:eastAsia="Century Gothic"/>
          <w:color w:val="000000"/>
        </w:rPr>
        <w:t>the effectiveness of analgesics</w:t>
      </w:r>
      <w:r>
        <w:rPr>
          <w:rFonts w:eastAsia="Century Gothic"/>
          <w:color w:val="000000"/>
        </w:rPr>
        <w:t>.</w:t>
      </w:r>
    </w:p>
    <w:p w:rsidR="00DA6E10" w:rsidRP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t>Monitor toxicity (miosis, euphoria, dysphoria, drowsiness, confusion, excessive sedation, decreased alertness, hallucinations, dizziness, bradycardia, myoclonus, hypotension, prolonged or recurrent respir</w:t>
      </w:r>
      <w:r>
        <w:rPr>
          <w:rFonts w:eastAsia="Century Gothic"/>
          <w:color w:val="000000"/>
          <w:lang w:val="en-CA"/>
        </w:rPr>
        <w:t>atory depression) of analgesics</w:t>
      </w:r>
      <w:r w:rsidRPr="00DA6E10">
        <w:rPr>
          <w:rFonts w:eastAsia="Century Gothic"/>
          <w:color w:val="000000"/>
          <w:lang w:val="en-CA"/>
        </w:rPr>
        <w:t>.</w:t>
      </w:r>
    </w:p>
    <w:p w:rsidR="00DA6E10" w:rsidRPr="00DA6E10" w:rsidRDefault="00DA6E10" w:rsidP="00DA6E1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  <w:r w:rsidRPr="00DA6E10">
        <w:rPr>
          <w:rFonts w:eastAsia="Century Gothic"/>
          <w:color w:val="000000"/>
          <w:lang w:val="en-CA"/>
        </w:rPr>
        <w:lastRenderedPageBreak/>
        <w:t>Watch for withdrawal symptoms (“craving”, irritability, myalgia, muscle spasms, redness, abdominal pain, nausea, vomiting, diarrhea, diaphoresis, tearing, rhinorrhea, mydriasis, yawning, piloerection, tachycardia, tremors).</w:t>
      </w:r>
    </w:p>
    <w:p w:rsidR="00DA6E10" w:rsidRPr="00DA6E10" w:rsidRDefault="00DA6E10" w:rsidP="00DA6E10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en-CA"/>
        </w:rPr>
      </w:pPr>
    </w:p>
    <w:p w:rsidR="00251915" w:rsidRPr="00DA6E10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bookmarkStart w:id="2" w:name="_GoBack"/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licence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End w:id="2"/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1F" w:rsidRDefault="009B5B1F" w:rsidP="00CD5A4A">
      <w:r>
        <w:separator/>
      </w:r>
    </w:p>
  </w:endnote>
  <w:endnote w:type="continuationSeparator" w:id="0">
    <w:p w:rsidR="009B5B1F" w:rsidRDefault="009B5B1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DA6E10">
      <w:rPr>
        <w:lang w:val="en-CA"/>
      </w:rPr>
      <w:t>February 2021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1F" w:rsidRDefault="009B5B1F" w:rsidP="00CD5A4A">
      <w:r>
        <w:separator/>
      </w:r>
    </w:p>
  </w:footnote>
  <w:footnote w:type="continuationSeparator" w:id="0">
    <w:p w:rsidR="009B5B1F" w:rsidRDefault="009B5B1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B5B1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B5B1F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1ED"/>
    <w:multiLevelType w:val="multilevel"/>
    <w:tmpl w:val="D6D2BB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AC5AF7"/>
    <w:multiLevelType w:val="multilevel"/>
    <w:tmpl w:val="E2BE2F0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60602C"/>
    <w:multiLevelType w:val="multilevel"/>
    <w:tmpl w:val="70420C7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346CCF"/>
    <w:multiLevelType w:val="multilevel"/>
    <w:tmpl w:val="41129F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2E17"/>
    <w:multiLevelType w:val="multilevel"/>
    <w:tmpl w:val="EE946DF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61C16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4A728E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25581"/>
    <w:rsid w:val="00937E39"/>
    <w:rsid w:val="009612DA"/>
    <w:rsid w:val="00961E4E"/>
    <w:rsid w:val="00973CB7"/>
    <w:rsid w:val="009B5B1F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91CBC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A6E10"/>
    <w:rsid w:val="00DB1590"/>
    <w:rsid w:val="00DC5FC2"/>
    <w:rsid w:val="00DC6162"/>
    <w:rsid w:val="00DC7986"/>
    <w:rsid w:val="00DE0469"/>
    <w:rsid w:val="00E0128B"/>
    <w:rsid w:val="00E01BA6"/>
    <w:rsid w:val="00E05B46"/>
    <w:rsid w:val="00E20E8A"/>
    <w:rsid w:val="00E47E23"/>
    <w:rsid w:val="00E6747F"/>
    <w:rsid w:val="00E737D5"/>
    <w:rsid w:val="00EA1E82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5233-8D04-4674-81AD-DBFD1F5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14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2942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2021-02-08T13:02:00Z</dcterms:created>
  <dcterms:modified xsi:type="dcterms:W3CDTF">2021-02-08T13:19:00Z</dcterms:modified>
</cp:coreProperties>
</file>