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082123">
        <w:rPr>
          <w:rFonts w:eastAsia="Century Gothic"/>
          <w:lang w:val="en-CA"/>
        </w:rPr>
        <w:t xml:space="preserve">Pharmaceutical opinion :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: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6C2334" w:rsidRDefault="006C2334" w:rsidP="00B906ED">
      <w:pPr>
        <w:ind w:left="720"/>
        <w:rPr>
          <w:color w:val="000000"/>
          <w:lang w:val="fr-CA"/>
        </w:rPr>
      </w:pPr>
      <w:r w:rsidRPr="006C2334">
        <w:rPr>
          <w:b/>
          <w:lang w:val="fr-CA"/>
        </w:rPr>
        <w:t>Sofosbuvir / Velpatasvir / Voxilaprevir (Vosevi)</w:t>
      </w:r>
      <w:r w:rsidR="00B906ED" w:rsidRPr="006C2334">
        <w:rPr>
          <w:color w:val="000000"/>
          <w:lang w:val="fr-CA"/>
        </w:rPr>
        <w:t xml:space="preserve"> </w:t>
      </w:r>
      <w:r w:rsidR="00B93894" w:rsidRPr="006C2334">
        <w:rPr>
          <w:color w:val="000000"/>
          <w:lang w:val="fr-CA"/>
        </w:rPr>
        <w:t xml:space="preserve">     </w:t>
      </w:r>
      <w:r w:rsidR="00A32F36" w:rsidRPr="006C2334">
        <w:rPr>
          <w:b/>
          <w:color w:val="000000"/>
          <w:lang w:val="fr-CA"/>
        </w:rPr>
        <w:t xml:space="preserve"> </w:t>
      </w:r>
      <w:r w:rsidR="00082123" w:rsidRPr="006C2334">
        <w:rPr>
          <w:b/>
          <w:color w:val="000000"/>
          <w:lang w:val="fr-CA"/>
        </w:rPr>
        <w:t>and</w:t>
      </w:r>
      <w:r w:rsidR="00251915" w:rsidRPr="006C2334">
        <w:rPr>
          <w:color w:val="000000"/>
          <w:lang w:val="fr-CA"/>
        </w:rPr>
        <w:t xml:space="preserve">   </w:t>
      </w:r>
    </w:p>
    <w:p w:rsidR="00B906ED" w:rsidRPr="006C2334" w:rsidRDefault="00B906ED" w:rsidP="00B906ED">
      <w:pPr>
        <w:ind w:left="720"/>
        <w:rPr>
          <w:b/>
          <w:lang w:val="fr-CA"/>
        </w:rPr>
      </w:pPr>
    </w:p>
    <w:p w:rsidR="00B906ED" w:rsidRPr="00082123" w:rsidRDefault="00082123" w:rsidP="00B906ED">
      <w:pPr>
        <w:ind w:left="720"/>
        <w:rPr>
          <w:color w:val="000000"/>
          <w:lang w:val="en-CA"/>
        </w:rPr>
      </w:pPr>
      <w:r w:rsidRPr="00082123">
        <w:rPr>
          <w:b/>
          <w:lang w:val="en-CA"/>
        </w:rPr>
        <w:t>Ant</w:t>
      </w:r>
      <w:r>
        <w:rPr>
          <w:b/>
          <w:lang w:val="en-CA"/>
        </w:rPr>
        <w:t>acid</w:t>
      </w:r>
      <w:r w:rsidR="000D4348" w:rsidRPr="00082123">
        <w:rPr>
          <w:b/>
          <w:lang w:val="en-CA"/>
        </w:rPr>
        <w:t xml:space="preserve">s: </w:t>
      </w:r>
      <w:r w:rsidR="000D4348" w:rsidRPr="00082123">
        <w:rPr>
          <w:lang w:val="en-CA"/>
        </w:rPr>
        <w:t>Al(OH)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</w:t>
      </w:r>
      <w:r>
        <w:rPr>
          <w:lang w:val="en-CA"/>
        </w:rPr>
        <w:t>and</w:t>
      </w:r>
      <w:r w:rsidR="000D4348" w:rsidRPr="00082123">
        <w:rPr>
          <w:lang w:val="en-CA"/>
        </w:rPr>
        <w:t>/o</w:t>
      </w:r>
      <w:r>
        <w:rPr>
          <w:lang w:val="en-CA"/>
        </w:rPr>
        <w:t>r</w:t>
      </w:r>
      <w:r w:rsidR="000D4348" w:rsidRPr="00082123">
        <w:rPr>
          <w:lang w:val="en-CA"/>
        </w:rPr>
        <w:t xml:space="preserve"> Mg(OH)</w:t>
      </w:r>
      <w:r w:rsidR="000D4348" w:rsidRPr="00082123">
        <w:rPr>
          <w:vertAlign w:val="subscript"/>
          <w:lang w:val="en-CA"/>
        </w:rPr>
        <w:t>2</w:t>
      </w:r>
      <w:r w:rsidR="000D4348" w:rsidRPr="00082123">
        <w:rPr>
          <w:lang w:val="en-CA"/>
        </w:rPr>
        <w:t xml:space="preserve"> (Almagel, Diovol), CaCO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(Tums), NaHCO</w:t>
      </w:r>
      <w:r w:rsidR="000D4348" w:rsidRPr="00082123">
        <w:rPr>
          <w:vertAlign w:val="subscript"/>
          <w:lang w:val="en-CA"/>
        </w:rPr>
        <w:t>3</w:t>
      </w:r>
      <w:r w:rsidR="000D4348" w:rsidRPr="00082123">
        <w:rPr>
          <w:lang w:val="en-CA"/>
        </w:rPr>
        <w:t xml:space="preserve"> (Alka-Seltzer)</w:t>
      </w:r>
    </w:p>
    <w:p w:rsidR="00F57980" w:rsidRPr="00082123" w:rsidRDefault="00F57980" w:rsidP="00F57980">
      <w:pPr>
        <w:rPr>
          <w:color w:val="000000"/>
          <w:lang w:val="en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mechanism :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color w:val="000000"/>
          <w:lang w:val="en-CA"/>
        </w:rPr>
        <w:t>Antacids increase gastric pH. The solubility, absorption and plasma concentration of velpatasvir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294B13" w:rsidP="000D4348">
      <w:pPr>
        <w:jc w:val="center"/>
        <w:rPr>
          <w:rFonts w:eastAsia="Century Gothic"/>
          <w:i/>
          <w:lang w:val="en-CA"/>
        </w:rPr>
      </w:pPr>
      <w:bookmarkStart w:id="1" w:name="bmAutoText1"/>
      <w:r w:rsidRPr="00294B13">
        <w:rPr>
          <w:rFonts w:eastAsia="Century Gothic"/>
          <w:b/>
          <w:bCs/>
          <w:i/>
          <w:lang w:val="en-CA"/>
        </w:rPr>
        <w:t>Sofosbuvir / Velpatasvir / Voxilaprevir (Vosevi)</w:t>
      </w:r>
      <w:r w:rsidR="000D4348" w:rsidRPr="00082123">
        <w:rPr>
          <w:rFonts w:eastAsia="Century Gothic"/>
          <w:b/>
          <w:bCs/>
          <w:i/>
          <w:lang w:val="en-CA"/>
        </w:rPr>
        <w:t xml:space="preserve"> </w:t>
      </w:r>
      <w:r w:rsidR="00082123" w:rsidRPr="00082123">
        <w:rPr>
          <w:rFonts w:eastAsia="Century Gothic"/>
          <w:b/>
          <w:bCs/>
          <w:i/>
          <w:lang w:val="en-CA"/>
        </w:rPr>
        <w:t>and antacid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 xml:space="preserve">: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82123" w:rsidP="000D4348">
      <w:pPr>
        <w:rPr>
          <w:rFonts w:eastAsia="Century Gothic"/>
          <w:bCs/>
          <w:lang w:val="en-CA"/>
        </w:rPr>
      </w:pPr>
      <w:r>
        <w:rPr>
          <w:rFonts w:eastAsia="Century Gothic"/>
          <w:bCs/>
          <w:lang w:val="en-CA"/>
        </w:rPr>
        <w:t xml:space="preserve">No studies on </w:t>
      </w:r>
      <w:r w:rsidR="006C2334">
        <w:rPr>
          <w:rFonts w:eastAsia="Century Gothic"/>
          <w:bCs/>
          <w:lang w:val="en-CA"/>
        </w:rPr>
        <w:t>Sofosbuvir/Velpatasvir/</w:t>
      </w:r>
      <w:r w:rsidR="006C2334" w:rsidRPr="006C2334">
        <w:rPr>
          <w:rFonts w:eastAsia="Century Gothic"/>
          <w:bCs/>
          <w:lang w:val="en-CA"/>
        </w:rPr>
        <w:t>Voxilapr</w:t>
      </w:r>
      <w:r w:rsidR="006C2334">
        <w:rPr>
          <w:rFonts w:eastAsia="Century Gothic"/>
          <w:bCs/>
          <w:lang w:val="en-CA"/>
        </w:rPr>
        <w:t>e</w:t>
      </w:r>
      <w:r w:rsidR="006C2334" w:rsidRPr="006C2334">
        <w:rPr>
          <w:rFonts w:eastAsia="Century Gothic"/>
          <w:bCs/>
          <w:lang w:val="en-CA"/>
        </w:rPr>
        <w:t>vir (Vosevi)</w:t>
      </w:r>
      <w:r w:rsidRPr="00082123">
        <w:rPr>
          <w:rFonts w:eastAsia="Century Gothic"/>
          <w:bCs/>
          <w:lang w:val="en-CA"/>
        </w:rPr>
        <w:t xml:space="preserve"> interaction and antacids are available. The</w:t>
      </w:r>
      <w:r>
        <w:rPr>
          <w:rFonts w:eastAsia="Century Gothic"/>
          <w:bCs/>
          <w:lang w:val="en-CA"/>
        </w:rPr>
        <w:t xml:space="preserve"> product</w:t>
      </w:r>
      <w:r w:rsidRPr="00082123">
        <w:rPr>
          <w:rFonts w:eastAsia="Century Gothic"/>
          <w:bCs/>
          <w:lang w:val="en-CA"/>
        </w:rPr>
        <w:t xml:space="preserve"> monograph recommends spacing the administration of </w:t>
      </w:r>
      <w:r w:rsidR="00294B13" w:rsidRPr="00294B13">
        <w:rPr>
          <w:rFonts w:eastAsia="Century Gothic"/>
          <w:bCs/>
          <w:lang w:val="en-CA"/>
        </w:rPr>
        <w:t>Sofosbuvir/Velpatasvir/Voxilaprevir (Vosevi)</w:t>
      </w:r>
      <w:r w:rsidRPr="00082123">
        <w:rPr>
          <w:rFonts w:eastAsia="Century Gothic"/>
          <w:bCs/>
          <w:lang w:val="en-CA"/>
        </w:rPr>
        <w:t>and antacids by 4 hours.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Pr="00082123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 (Antacid</w:t>
      </w:r>
      <w:r w:rsidR="000D4348" w:rsidRPr="00082123">
        <w:rPr>
          <w:rFonts w:eastAsia="Century Gothic"/>
          <w:u w:val="single"/>
          <w:lang w:val="en-CA"/>
        </w:rPr>
        <w:t>s) :</w:t>
      </w:r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antacid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>
        <w:rPr>
          <w:rFonts w:eastAsia="Century Gothic"/>
          <w:lang w:val="en-CA"/>
        </w:rPr>
        <w:t xml:space="preserve">Administer </w:t>
      </w:r>
      <w:r w:rsidR="006C2334">
        <w:rPr>
          <w:rFonts w:eastAsia="Century Gothic"/>
          <w:bCs/>
          <w:lang w:val="en-CA"/>
        </w:rPr>
        <w:t>Sofosbuvir/Velpatasvir/</w:t>
      </w:r>
      <w:r w:rsidR="006C2334" w:rsidRPr="006C2334">
        <w:rPr>
          <w:rFonts w:eastAsia="Century Gothic"/>
          <w:bCs/>
          <w:lang w:val="en-CA"/>
        </w:rPr>
        <w:t>Voxilapr</w:t>
      </w:r>
      <w:r w:rsidR="006C2334">
        <w:rPr>
          <w:rFonts w:eastAsia="Century Gothic"/>
          <w:bCs/>
          <w:lang w:val="en-CA"/>
        </w:rPr>
        <w:t>e</w:t>
      </w:r>
      <w:r w:rsidR="006C2334" w:rsidRPr="006C2334">
        <w:rPr>
          <w:rFonts w:eastAsia="Century Gothic"/>
          <w:bCs/>
          <w:lang w:val="en-CA"/>
        </w:rPr>
        <w:t>vir (Vosevi)</w:t>
      </w:r>
      <w:r w:rsidR="00B952BA">
        <w:rPr>
          <w:rFonts w:eastAsia="Century Gothic"/>
          <w:bCs/>
          <w:lang w:val="en-CA"/>
        </w:rPr>
        <w:t xml:space="preserve"> </w:t>
      </w:r>
      <w:r w:rsidRPr="00082123">
        <w:rPr>
          <w:rFonts w:eastAsia="Century Gothic"/>
          <w:lang w:val="en-CA"/>
        </w:rPr>
        <w:t>at least 4 hours before the antacid.</w:t>
      </w:r>
    </w:p>
    <w:p w:rsidR="000D4348" w:rsidRPr="00082123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Pr="00082123" w:rsidRDefault="00082123" w:rsidP="000D4348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Administer </w:t>
      </w:r>
      <w:r w:rsidR="006C2334">
        <w:rPr>
          <w:rFonts w:eastAsia="Century Gothic"/>
          <w:bCs/>
          <w:lang w:val="en-CA"/>
        </w:rPr>
        <w:t>Sofosbuvir/Velpatasvir/</w:t>
      </w:r>
      <w:r w:rsidR="006C2334" w:rsidRPr="006C2334">
        <w:rPr>
          <w:rFonts w:eastAsia="Century Gothic"/>
          <w:bCs/>
          <w:lang w:val="en-CA"/>
        </w:rPr>
        <w:t>Voxilapr</w:t>
      </w:r>
      <w:r w:rsidR="006C2334">
        <w:rPr>
          <w:rFonts w:eastAsia="Century Gothic"/>
          <w:bCs/>
          <w:lang w:val="en-CA"/>
        </w:rPr>
        <w:t>e</w:t>
      </w:r>
      <w:r w:rsidR="006C2334" w:rsidRPr="006C2334">
        <w:rPr>
          <w:rFonts w:eastAsia="Century Gothic"/>
          <w:bCs/>
          <w:lang w:val="en-CA"/>
        </w:rPr>
        <w:t>vir (Vosevi)</w:t>
      </w:r>
      <w:r w:rsidR="006C2334">
        <w:rPr>
          <w:rFonts w:eastAsia="Century Gothic"/>
          <w:bCs/>
          <w:lang w:val="en-CA"/>
        </w:rPr>
        <w:t xml:space="preserve"> </w:t>
      </w:r>
      <w:r w:rsidRPr="00082123">
        <w:rPr>
          <w:rFonts w:eastAsia="Century Gothic"/>
          <w:lang w:val="en-CA"/>
        </w:rPr>
        <w:t xml:space="preserve">at least 4 hours </w:t>
      </w:r>
      <w:r>
        <w:rPr>
          <w:rFonts w:eastAsia="Century Gothic"/>
          <w:lang w:val="en-CA"/>
        </w:rPr>
        <w:t>after</w:t>
      </w:r>
      <w:r w:rsidRPr="00082123">
        <w:rPr>
          <w:rFonts w:eastAsia="Century Gothic"/>
          <w:lang w:val="en-CA"/>
        </w:rPr>
        <w:t xml:space="preserve"> the antacid.</w:t>
      </w:r>
      <w:r w:rsidR="000D4348" w:rsidRPr="00082123">
        <w:rPr>
          <w:rFonts w:eastAsia="Century Gothic"/>
          <w:lang w:val="en-CA"/>
        </w:rPr>
        <w:br/>
      </w:r>
    </w:p>
    <w:p w:rsidR="000D4348" w:rsidRPr="00082123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 xml:space="preserve">he antacid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0D4348" w:rsidRPr="00082123">
        <w:rPr>
          <w:rFonts w:eastAsia="Century Gothic"/>
          <w:lang w:val="en-CA"/>
        </w:rPr>
        <w:br/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0D4348">
        <w:rPr>
          <w:rFonts w:eastAsia="Century Gothic"/>
        </w:rPr>
        <w:t xml:space="preserve"> :_____________________________________________________________________ REN :_______</w:t>
      </w:r>
    </w:p>
    <w:bookmarkEnd w:id="1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Follow-up :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 :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r w:rsidRPr="000B663C">
                              <w:t xml:space="preserve">Date :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licence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3E" w:rsidRDefault="0035163E" w:rsidP="00CD5A4A">
      <w:r>
        <w:separator/>
      </w:r>
    </w:p>
  </w:endnote>
  <w:endnote w:type="continuationSeparator" w:id="0">
    <w:p w:rsidR="0035163E" w:rsidRDefault="0035163E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CD7FEC" w:rsidRDefault="00CD7FEC" w:rsidP="00CD7F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>
      <w:rPr>
        <w:lang w:val="en-CA"/>
      </w:rPr>
      <w:t>March 2021</w:t>
    </w:r>
    <w:r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3E" w:rsidRDefault="0035163E" w:rsidP="00CD5A4A">
      <w:r>
        <w:separator/>
      </w:r>
    </w:p>
  </w:footnote>
  <w:footnote w:type="continuationSeparator" w:id="0">
    <w:p w:rsidR="0035163E" w:rsidRDefault="0035163E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516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5163E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94B13"/>
    <w:rsid w:val="002A76EB"/>
    <w:rsid w:val="002B66D9"/>
    <w:rsid w:val="002B671D"/>
    <w:rsid w:val="002E51C3"/>
    <w:rsid w:val="002F6838"/>
    <w:rsid w:val="0030271F"/>
    <w:rsid w:val="00310298"/>
    <w:rsid w:val="003413ED"/>
    <w:rsid w:val="0035163E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2334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513C7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3560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952BA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D7FEC"/>
    <w:rsid w:val="00CF745C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7E23"/>
    <w:rsid w:val="00E6747F"/>
    <w:rsid w:val="00E737D5"/>
    <w:rsid w:val="00EC46A5"/>
    <w:rsid w:val="00EF18B6"/>
    <w:rsid w:val="00F2247C"/>
    <w:rsid w:val="00F2321C"/>
    <w:rsid w:val="00F25FFB"/>
    <w:rsid w:val="00F57980"/>
    <w:rsid w:val="00F76846"/>
    <w:rsid w:val="00F871F5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D7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D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27EA-B255-450C-91FB-9144A5EE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1661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2021-03-16T13:36:00Z</dcterms:created>
  <dcterms:modified xsi:type="dcterms:W3CDTF">2021-03-16T13:36:00Z</dcterms:modified>
</cp:coreProperties>
</file>