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291C2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Gl</w:t>
      </w:r>
      <w:r w:rsidR="00BE7B9D">
        <w:rPr>
          <w:b/>
          <w:lang w:val="fr-CA"/>
        </w:rPr>
        <w:t>e</w:t>
      </w:r>
      <w:r>
        <w:rPr>
          <w:b/>
          <w:lang w:val="fr-CA"/>
        </w:rPr>
        <w:t>capr</w:t>
      </w:r>
      <w:r w:rsidR="00BE7B9D">
        <w:rPr>
          <w:b/>
          <w:lang w:val="fr-CA"/>
        </w:rPr>
        <w:t>e</w:t>
      </w:r>
      <w:r>
        <w:rPr>
          <w:b/>
          <w:lang w:val="fr-CA"/>
        </w:rPr>
        <w:t>vir</w:t>
      </w:r>
      <w:r w:rsidR="0055724E">
        <w:rPr>
          <w:b/>
          <w:lang w:val="fr-CA"/>
        </w:rPr>
        <w:t xml:space="preserve"> </w:t>
      </w:r>
      <w:r>
        <w:rPr>
          <w:b/>
          <w:lang w:val="fr-CA"/>
        </w:rPr>
        <w:t>/</w:t>
      </w:r>
      <w:r w:rsidR="0055724E">
        <w:rPr>
          <w:b/>
          <w:lang w:val="fr-CA"/>
        </w:rPr>
        <w:t xml:space="preserve"> </w:t>
      </w:r>
      <w:r>
        <w:rPr>
          <w:b/>
          <w:lang w:val="fr-CA"/>
        </w:rPr>
        <w:t>Pibrentasvir</w:t>
      </w:r>
      <w:r w:rsidR="006A0FA7">
        <w:rPr>
          <w:b/>
          <w:lang w:val="fr-CA"/>
        </w:rPr>
        <w:t xml:space="preserve"> </w:t>
      </w:r>
      <w:r w:rsidR="002B66D9">
        <w:rPr>
          <w:b/>
          <w:lang w:val="fr-CA"/>
        </w:rPr>
        <w:t>(</w:t>
      </w:r>
      <w:r>
        <w:rPr>
          <w:b/>
          <w:lang w:val="fr-CA"/>
        </w:rPr>
        <w:t>Maviret</w:t>
      </w:r>
      <w:r w:rsidR="002B66D9"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BE7B9D">
        <w:rPr>
          <w:b/>
          <w:color w:val="000000"/>
          <w:lang w:val="fr-CA"/>
        </w:rPr>
        <w:t>and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nyto</w:t>
      </w:r>
      <w:r w:rsidR="00BE7B9D">
        <w:rPr>
          <w:color w:val="000000"/>
          <w:lang w:val="fr-CA"/>
        </w:rPr>
        <w:t>in</w:t>
      </w:r>
      <w:r w:rsidRPr="00B906ED">
        <w:rPr>
          <w:color w:val="000000"/>
          <w:lang w:val="fr-CA"/>
        </w:rPr>
        <w:t xml:space="preserve">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7E34C3" w:rsidRPr="00BE7B9D">
        <w:rPr>
          <w:rFonts w:eastAsia="Century Gothic"/>
          <w:lang w:val="en-CA"/>
        </w:rPr>
        <w:t>Carbamazepine, oxcarbazepine, phenobarbital</w:t>
      </w:r>
      <w:r w:rsidR="007E34C3">
        <w:rPr>
          <w:rFonts w:eastAsia="Century Gothic"/>
          <w:lang w:val="en-CA"/>
        </w:rPr>
        <w:t xml:space="preserve"> and</w:t>
      </w:r>
      <w:r w:rsidR="007E34C3" w:rsidRPr="00BE7B9D">
        <w:rPr>
          <w:rFonts w:eastAsia="Century Gothic"/>
          <w:lang w:val="en-CA"/>
        </w:rPr>
        <w:t xml:space="preserve"> phenytoin</w:t>
      </w:r>
      <w:r w:rsidR="007E34C3">
        <w:rPr>
          <w:rFonts w:eastAsia="Century Gothic"/>
          <w:lang w:val="en-CA"/>
        </w:rPr>
        <w:t xml:space="preserve"> are potent CYP 3A4 and P-gp inducers.</w:t>
      </w:r>
      <w:r w:rsidRPr="00BE7B9D">
        <w:rPr>
          <w:rFonts w:eastAsia="Century Gothic"/>
          <w:lang w:val="en-CA"/>
        </w:rPr>
        <w:t xml:space="preserve"> </w:t>
      </w:r>
      <w:r w:rsidR="006552B9" w:rsidRPr="00BE7B9D">
        <w:rPr>
          <w:rFonts w:eastAsia="Century Gothic"/>
          <w:lang w:val="en-CA"/>
        </w:rPr>
        <w:t>The anti-HCV</w:t>
      </w:r>
      <w:r w:rsidR="006552B9">
        <w:rPr>
          <w:rFonts w:eastAsia="Century Gothic"/>
          <w:lang w:val="en-CA"/>
        </w:rPr>
        <w:t>s</w:t>
      </w:r>
      <w:r w:rsidR="006552B9" w:rsidRPr="00BE7B9D">
        <w:rPr>
          <w:rFonts w:eastAsia="Century Gothic"/>
          <w:lang w:val="en-CA"/>
        </w:rPr>
        <w:t xml:space="preserve"> mentioned abo</w:t>
      </w:r>
      <w:r w:rsidR="006552B9">
        <w:rPr>
          <w:rFonts w:eastAsia="Century Gothic"/>
          <w:lang w:val="en-CA"/>
        </w:rPr>
        <w:t>ve are substrates of CYP3A4 and/</w:t>
      </w:r>
      <w:r w:rsidR="006552B9"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906ED" w:rsidRPr="00BE7B9D">
        <w:rPr>
          <w:rFonts w:eastAsia="Century Gothic"/>
          <w:b/>
          <w:i/>
          <w:lang w:val="en-CA"/>
        </w:rPr>
        <w:t>anticonvulsivants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3B4681" w:rsidRDefault="00251915" w:rsidP="00251915">
      <w:pPr>
        <w:ind w:left="360"/>
        <w:jc w:val="both"/>
        <w:rPr>
          <w:rFonts w:eastAsia="Century Gothic"/>
          <w:sz w:val="16"/>
          <w:szCs w:val="16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Default="0055724E" w:rsidP="001375FF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Gl</w:t>
      </w:r>
      <w:r w:rsidR="00143665">
        <w:rPr>
          <w:rFonts w:eastAsia="Century Gothic"/>
          <w:lang w:val="en-CA"/>
        </w:rPr>
        <w:t>e</w:t>
      </w:r>
      <w:r w:rsidRPr="00BE7B9D">
        <w:rPr>
          <w:rFonts w:eastAsia="Century Gothic"/>
          <w:lang w:val="en-CA"/>
        </w:rPr>
        <w:t>capr</w:t>
      </w:r>
      <w:r w:rsidR="00BE7B9D" w:rsidRPr="00BE7B9D">
        <w:rPr>
          <w:rFonts w:eastAsia="Century Gothic"/>
          <w:lang w:val="en-CA"/>
        </w:rPr>
        <w:t>e</w:t>
      </w:r>
      <w:r w:rsidRPr="00BE7B9D">
        <w:rPr>
          <w:rFonts w:eastAsia="Century Gothic"/>
          <w:lang w:val="en-CA"/>
        </w:rPr>
        <w:t>vir/Pibrentasvir (Maviret) + Carbamaz</w:t>
      </w:r>
      <w:r w:rsidR="00BE7B9D" w:rsidRPr="00BE7B9D">
        <w:rPr>
          <w:rFonts w:eastAsia="Century Gothic"/>
          <w:lang w:val="en-CA"/>
        </w:rPr>
        <w:t>e</w:t>
      </w:r>
      <w:r w:rsidR="0093671C">
        <w:rPr>
          <w:rFonts w:eastAsia="Century Gothic"/>
          <w:lang w:val="en-CA"/>
        </w:rPr>
        <w:t xml:space="preserve">pine 200 mg BID </w:t>
      </w:r>
      <w:r w:rsidRPr="00BE7B9D">
        <w:rPr>
          <w:rFonts w:eastAsia="Century Gothic"/>
          <w:lang w:val="en-CA"/>
        </w:rPr>
        <w:t xml:space="preserve">: ↓66% </w:t>
      </w:r>
      <w:r w:rsidR="00BE7B9D" w:rsidRPr="00BE7B9D">
        <w:rPr>
          <w:rFonts w:eastAsia="Century Gothic"/>
          <w:lang w:val="en-CA"/>
        </w:rPr>
        <w:t>and</w:t>
      </w:r>
      <w:r w:rsidRPr="00BE7B9D">
        <w:rPr>
          <w:rFonts w:eastAsia="Century Gothic"/>
          <w:lang w:val="en-CA"/>
        </w:rPr>
        <w:t xml:space="preserve"> ↓51% </w:t>
      </w:r>
      <w:r w:rsidR="00F81305">
        <w:rPr>
          <w:rFonts w:eastAsia="Century Gothic"/>
          <w:lang w:val="en-CA"/>
        </w:rPr>
        <w:t xml:space="preserve">in </w:t>
      </w:r>
      <w:r w:rsidR="00BE7B9D" w:rsidRPr="00BE7B9D">
        <w:rPr>
          <w:rFonts w:eastAsia="Century Gothic"/>
          <w:lang w:val="en-CA"/>
        </w:rPr>
        <w:t>AUC of</w:t>
      </w:r>
      <w:r w:rsidRPr="00BE7B9D">
        <w:rPr>
          <w:rFonts w:eastAsia="Century Gothic"/>
          <w:lang w:val="en-CA"/>
        </w:rPr>
        <w:t xml:space="preserve"> gl</w:t>
      </w:r>
      <w:r w:rsidR="00BE7B9D" w:rsidRPr="00BE7B9D">
        <w:rPr>
          <w:rFonts w:eastAsia="Century Gothic"/>
          <w:lang w:val="en-CA"/>
        </w:rPr>
        <w:t>e</w:t>
      </w:r>
      <w:r w:rsidRPr="00BE7B9D">
        <w:rPr>
          <w:rFonts w:eastAsia="Century Gothic"/>
          <w:lang w:val="en-CA"/>
        </w:rPr>
        <w:t>capr</w:t>
      </w:r>
      <w:r w:rsidR="00BE7B9D" w:rsidRPr="00BE7B9D">
        <w:rPr>
          <w:rFonts w:eastAsia="Century Gothic"/>
          <w:lang w:val="en-CA"/>
        </w:rPr>
        <w:t>e</w:t>
      </w:r>
      <w:r w:rsidRPr="00BE7B9D">
        <w:rPr>
          <w:rFonts w:eastAsia="Century Gothic"/>
          <w:lang w:val="en-CA"/>
        </w:rPr>
        <w:t xml:space="preserve">vir </w:t>
      </w:r>
      <w:r w:rsidR="00BE7B9D" w:rsidRPr="00BE7B9D">
        <w:rPr>
          <w:rFonts w:eastAsia="Century Gothic"/>
          <w:lang w:val="en-CA"/>
        </w:rPr>
        <w:t>and</w:t>
      </w:r>
      <w:r w:rsidRPr="00BE7B9D">
        <w:rPr>
          <w:rFonts w:eastAsia="Century Gothic"/>
          <w:lang w:val="en-CA"/>
        </w:rPr>
        <w:t xml:space="preserve"> pibrentasvir, respective</w:t>
      </w:r>
      <w:r w:rsidR="00BE7B9D" w:rsidRPr="00BE7B9D">
        <w:rPr>
          <w:rFonts w:eastAsia="Century Gothic"/>
          <w:lang w:val="en-CA"/>
        </w:rPr>
        <w:t>ly</w:t>
      </w:r>
      <w:r w:rsidRPr="00BE7B9D">
        <w:rPr>
          <w:rFonts w:eastAsia="Century Gothic"/>
          <w:lang w:val="en-CA"/>
        </w:rPr>
        <w:t xml:space="preserve">. </w:t>
      </w:r>
      <w:r w:rsidR="00BE7B9D" w:rsidRPr="00143665">
        <w:rPr>
          <w:rFonts w:eastAsia="Century Gothic"/>
          <w:lang w:val="en-CA"/>
        </w:rPr>
        <w:t>Combination with other</w:t>
      </w:r>
      <w:r w:rsidR="00B906ED" w:rsidRPr="00143665">
        <w:rPr>
          <w:rFonts w:eastAsia="Century Gothic"/>
          <w:lang w:val="en-CA"/>
        </w:rPr>
        <w:t xml:space="preserve"> </w:t>
      </w:r>
      <w:r w:rsidRPr="00143665">
        <w:rPr>
          <w:rFonts w:eastAsia="Century Gothic"/>
          <w:lang w:val="en-CA"/>
        </w:rPr>
        <w:t>anticonvulsivants</w:t>
      </w:r>
      <w:r w:rsidR="00B906ED" w:rsidRPr="00143665">
        <w:rPr>
          <w:rFonts w:eastAsia="Century Gothic"/>
          <w:lang w:val="en-CA"/>
        </w:rPr>
        <w:t xml:space="preserve"> </w:t>
      </w:r>
      <w:r w:rsidR="00BE7B9D" w:rsidRPr="00143665">
        <w:rPr>
          <w:rFonts w:eastAsia="Century Gothic"/>
          <w:lang w:val="en-CA"/>
        </w:rPr>
        <w:t>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BE7B9D" w:rsidRPr="00BE7B9D">
        <w:rPr>
          <w:rFonts w:eastAsia="Century Gothic"/>
          <w:lang w:val="en-CA"/>
        </w:rPr>
        <w:t>According to product monograph</w:t>
      </w:r>
      <w:r w:rsidR="00B906ED" w:rsidRPr="00BE7B9D">
        <w:rPr>
          <w:rFonts w:eastAsia="Century Gothic"/>
          <w:lang w:val="en-CA"/>
        </w:rPr>
        <w:t xml:space="preserve">, </w:t>
      </w:r>
      <w:r w:rsidR="00BE7B9D" w:rsidRPr="00BE7B9D">
        <w:rPr>
          <w:rFonts w:eastAsia="Century Gothic"/>
          <w:lang w:val="en-CA"/>
        </w:rPr>
        <w:t xml:space="preserve">concomitant use with potent CYP 3A4 inducers </w:t>
      </w:r>
      <w:r w:rsidR="00DF15BB">
        <w:rPr>
          <w:rFonts w:eastAsia="Century Gothic"/>
          <w:lang w:val="en-CA"/>
        </w:rPr>
        <w:t xml:space="preserve">such </w:t>
      </w:r>
      <w:r w:rsidR="001375FF">
        <w:rPr>
          <w:rFonts w:eastAsia="Century Gothic"/>
          <w:lang w:val="en-CA"/>
        </w:rPr>
        <w:t>as</w:t>
      </w:r>
      <w:r w:rsidR="00B906ED" w:rsidRPr="00BE7B9D">
        <w:rPr>
          <w:rFonts w:eastAsia="Century Gothic"/>
          <w:lang w:val="en-CA"/>
        </w:rPr>
        <w:t xml:space="preserve">  carbamaz</w:t>
      </w:r>
      <w:r w:rsidR="00BE7B9D" w:rsidRPr="00BE7B9D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 xml:space="preserve">pine, </w:t>
      </w:r>
      <w:r w:rsidR="00BE7B9D" w:rsidRPr="00BE7B9D">
        <w:rPr>
          <w:rFonts w:eastAsia="Century Gothic"/>
          <w:lang w:val="en-CA"/>
        </w:rPr>
        <w:t>oxcarbaze</w:t>
      </w:r>
      <w:r w:rsidR="00B906ED" w:rsidRPr="00BE7B9D">
        <w:rPr>
          <w:rFonts w:eastAsia="Century Gothic"/>
          <w:lang w:val="en-CA"/>
        </w:rPr>
        <w:t>pine, ph</w:t>
      </w:r>
      <w:r w:rsidR="00BE7B9D" w:rsidRPr="00BE7B9D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 xml:space="preserve">nobarbital </w:t>
      </w:r>
      <w:r w:rsidR="00BE7B9D" w:rsidRPr="00BE7B9D">
        <w:rPr>
          <w:rFonts w:eastAsia="Century Gothic"/>
          <w:lang w:val="en-CA"/>
        </w:rPr>
        <w:t>and</w:t>
      </w:r>
      <w:r w:rsidR="00B906ED" w:rsidRPr="00BE7B9D">
        <w:rPr>
          <w:rFonts w:eastAsia="Century Gothic"/>
          <w:lang w:val="en-CA"/>
        </w:rPr>
        <w:t xml:space="preserve"> ph</w:t>
      </w:r>
      <w:r w:rsidR="00370655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>nyto</w:t>
      </w:r>
      <w:r w:rsidR="00BE7B9D">
        <w:rPr>
          <w:rFonts w:eastAsia="Century Gothic"/>
          <w:lang w:val="en-CA"/>
        </w:rPr>
        <w:t>in</w:t>
      </w:r>
      <w:r w:rsidR="00B906ED" w:rsidRPr="00BE7B9D">
        <w:rPr>
          <w:rFonts w:eastAsia="Century Gothic"/>
          <w:lang w:val="en-CA"/>
        </w:rPr>
        <w:t xml:space="preserve"> </w:t>
      </w:r>
      <w:r w:rsidR="00BE7B9D">
        <w:rPr>
          <w:rFonts w:eastAsia="Century Gothic"/>
          <w:lang w:val="en-CA"/>
        </w:rPr>
        <w:t>is</w:t>
      </w:r>
      <w:r w:rsidR="00B906ED" w:rsidRPr="00BE7B9D">
        <w:rPr>
          <w:rFonts w:eastAsia="Century Gothic"/>
          <w:lang w:val="en-CA"/>
        </w:rPr>
        <w:t xml:space="preserve"> no</w:t>
      </w:r>
      <w:r w:rsidR="00BE7B9D">
        <w:rPr>
          <w:rFonts w:eastAsia="Century Gothic"/>
          <w:lang w:val="en-CA"/>
        </w:rPr>
        <w:t>t</w:t>
      </w:r>
      <w:r w:rsidR="00B906ED" w:rsidRPr="00BE7B9D">
        <w:rPr>
          <w:rFonts w:eastAsia="Century Gothic"/>
          <w:lang w:val="en-CA"/>
        </w:rPr>
        <w:t xml:space="preserve"> recomm</w:t>
      </w:r>
      <w:r w:rsidR="001375FF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>nd</w:t>
      </w:r>
      <w:r w:rsidR="001375FF">
        <w:rPr>
          <w:rFonts w:eastAsia="Century Gothic"/>
          <w:lang w:val="en-CA"/>
        </w:rPr>
        <w:t>ed</w:t>
      </w:r>
      <w:r w:rsidR="00B906ED" w:rsidRPr="00BE7B9D">
        <w:rPr>
          <w:rFonts w:eastAsia="Century Gothic"/>
          <w:lang w:val="en-CA"/>
        </w:rPr>
        <w:t>.</w:t>
      </w:r>
    </w:p>
    <w:p w:rsidR="003B4681" w:rsidRDefault="003B4681" w:rsidP="001375FF">
      <w:pPr>
        <w:jc w:val="both"/>
        <w:rPr>
          <w:rFonts w:eastAsia="Century Gothic"/>
          <w:lang w:val="en-CA"/>
        </w:rPr>
      </w:pPr>
    </w:p>
    <w:p w:rsidR="003B4681" w:rsidRPr="003B4681" w:rsidRDefault="003B4681" w:rsidP="001375FF">
      <w:pPr>
        <w:jc w:val="both"/>
        <w:rPr>
          <w:lang w:val="en-CA"/>
        </w:rPr>
      </w:pPr>
      <w:r w:rsidRPr="003B4681">
        <w:rPr>
          <w:b/>
          <w:lang w:val="en-CA"/>
        </w:rPr>
        <w:t>Case report of five patients</w:t>
      </w:r>
      <w:r w:rsidRPr="003B4681">
        <w:rPr>
          <w:lang w:val="en-CA"/>
        </w:rPr>
        <w:t xml:space="preserve"> who received standard doses for the treatment of chronic hepatitis C infection while being maintained on first generation anticonvulsants (carbamazepine, phenobarbital, phenytoin). Four patients were treated with glecaprevir/pibrentasvir for 8 weeks and one patient with ledipasvir/sofosbuvir for 12 weeks. All five patients achieved a sustained virologic response (SVR) despite this drug interaction. The authors conclude that all efforts to prevent concomitant use with strong inducers should be made.</w:t>
      </w:r>
      <w:bookmarkStart w:id="1" w:name="_GoBack"/>
      <w:bookmarkEnd w:id="1"/>
    </w:p>
    <w:p w:rsidR="00B906ED" w:rsidRPr="003B4681" w:rsidRDefault="00B906ED" w:rsidP="00B906ED">
      <w:pPr>
        <w:tabs>
          <w:tab w:val="left" w:pos="1965"/>
        </w:tabs>
        <w:rPr>
          <w:sz w:val="16"/>
          <w:szCs w:val="16"/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1375FF">
        <w:rPr>
          <w:rFonts w:eastAsia="Century Gothic"/>
          <w:u w:val="single"/>
          <w:lang w:val="fr-CA"/>
        </w:rPr>
        <w:t>Possible therapeutic options</w:t>
      </w:r>
      <w:r w:rsidR="00B906ED">
        <w:rPr>
          <w:rFonts w:eastAsia="Century Gothic"/>
          <w:u w:val="single"/>
          <w:lang w:val="fr-CA"/>
        </w:rPr>
        <w:t>:</w:t>
      </w:r>
      <w:r w:rsidR="00B906ED">
        <w:rPr>
          <w:rFonts w:eastAsia="Century Gothic"/>
          <w:lang w:val="fr-CA"/>
        </w:rPr>
        <w:t xml:space="preserve">    </w:t>
      </w:r>
      <w:r w:rsidRPr="001375FF">
        <w:rPr>
          <w:rFonts w:eastAsia="Century Gothic"/>
          <w:b/>
          <w:lang w:val="fr-CA"/>
        </w:rPr>
        <w:t>A</w:t>
      </w:r>
      <w:r w:rsidR="00B906ED" w:rsidRPr="001375FF">
        <w:rPr>
          <w:rFonts w:eastAsia="Century Gothic"/>
          <w:b/>
          <w:lang w:val="fr-CA"/>
        </w:rPr>
        <w:t>nticonvulsivant </w:t>
      </w:r>
      <w:r w:rsidRPr="001375FF">
        <w:rPr>
          <w:rFonts w:eastAsia="Century Gothic"/>
          <w:b/>
          <w:lang w:val="fr-CA"/>
        </w:rPr>
        <w:t>name</w:t>
      </w:r>
      <w:r>
        <w:rPr>
          <w:rFonts w:eastAsia="Century Gothic"/>
          <w:lang w:val="fr-CA"/>
        </w:rPr>
        <w:t xml:space="preserve"> </w:t>
      </w:r>
      <w:r w:rsidR="00B906ED">
        <w:rPr>
          <w:rFonts w:eastAsia="Century Gothic"/>
          <w:lang w:val="fr-CA"/>
        </w:rPr>
        <w:t>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E03632" w:rsidRDefault="001375FF" w:rsidP="00E0363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E03632">
        <w:rPr>
          <w:rFonts w:eastAsia="Century Gothic"/>
          <w:lang w:val="en-CA"/>
        </w:rPr>
        <w:t>Substitute anticonvulsant for: gabapentin, pregabalin</w:t>
      </w:r>
      <w:r w:rsidR="00E03632" w:rsidRPr="00E03632">
        <w:rPr>
          <w:rFonts w:eastAsia="Century Gothic"/>
          <w:lang w:val="en-CA"/>
        </w:rPr>
        <w:t>,</w:t>
      </w:r>
      <w:r w:rsidRPr="00E03632">
        <w:rPr>
          <w:rFonts w:eastAsia="Century Gothic"/>
          <w:lang w:val="en-CA"/>
        </w:rPr>
        <w:t xml:space="preserve"> levetiracetam</w:t>
      </w:r>
      <w:r w:rsidR="00E03632" w:rsidRPr="00E03632">
        <w:rPr>
          <w:rFonts w:eastAsia="Century Gothic"/>
          <w:lang w:val="en-CA"/>
        </w:rPr>
        <w:t>, brivaracetam, or valproic acid</w:t>
      </w:r>
    </w:p>
    <w:p w:rsidR="00B906ED" w:rsidRPr="00E03632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3B4681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3B4681" w:rsidRPr="003B4681" w:rsidRDefault="003B4681" w:rsidP="003B4681">
      <w:pPr>
        <w:jc w:val="both"/>
        <w:rPr>
          <w:rFonts w:eastAsia="Century Gothic"/>
          <w:sz w:val="16"/>
          <w:szCs w:val="16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3B4681" w:rsidRDefault="00251915" w:rsidP="00251915">
      <w:pPr>
        <w:rPr>
          <w:rFonts w:eastAsia="Century Gothic"/>
          <w:sz w:val="16"/>
          <w:szCs w:val="16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3B4681" w:rsidRDefault="00A7767A" w:rsidP="00A7767A">
      <w:pPr>
        <w:ind w:left="1440"/>
        <w:rPr>
          <w:rFonts w:eastAsia="Century Gothic"/>
          <w:sz w:val="16"/>
          <w:szCs w:val="16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61" w:rsidRDefault="00E97E61" w:rsidP="00CD5A4A">
      <w:r>
        <w:separator/>
      </w:r>
    </w:p>
  </w:endnote>
  <w:endnote w:type="continuationSeparator" w:id="0">
    <w:p w:rsidR="00E97E61" w:rsidRDefault="00E97E61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E03632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61" w:rsidRDefault="00E97E61" w:rsidP="00CD5A4A">
      <w:r>
        <w:separator/>
      </w:r>
    </w:p>
  </w:footnote>
  <w:footnote w:type="continuationSeparator" w:id="0">
    <w:p w:rsidR="00E97E61" w:rsidRDefault="00E97E61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97E6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7E61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33DCE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70655"/>
    <w:rsid w:val="00385217"/>
    <w:rsid w:val="0039680A"/>
    <w:rsid w:val="003A2EBB"/>
    <w:rsid w:val="003B4681"/>
    <w:rsid w:val="003C6E8F"/>
    <w:rsid w:val="003D7BCD"/>
    <w:rsid w:val="004066E9"/>
    <w:rsid w:val="004073AE"/>
    <w:rsid w:val="004266F5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552B9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537D9"/>
    <w:rsid w:val="00760C00"/>
    <w:rsid w:val="007635D3"/>
    <w:rsid w:val="00764BEB"/>
    <w:rsid w:val="00777EBA"/>
    <w:rsid w:val="007966D6"/>
    <w:rsid w:val="007A03DA"/>
    <w:rsid w:val="007E34C3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671C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C539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A2944"/>
    <w:rsid w:val="00DA5A98"/>
    <w:rsid w:val="00DC7986"/>
    <w:rsid w:val="00DF15BB"/>
    <w:rsid w:val="00E01BA6"/>
    <w:rsid w:val="00E03632"/>
    <w:rsid w:val="00E05B46"/>
    <w:rsid w:val="00E20E8A"/>
    <w:rsid w:val="00E47E23"/>
    <w:rsid w:val="00E6747F"/>
    <w:rsid w:val="00E737D5"/>
    <w:rsid w:val="00E97E61"/>
    <w:rsid w:val="00EC46A5"/>
    <w:rsid w:val="00EF18B6"/>
    <w:rsid w:val="00F2321C"/>
    <w:rsid w:val="00F25FFB"/>
    <w:rsid w:val="00F3794C"/>
    <w:rsid w:val="00F57980"/>
    <w:rsid w:val="00F76846"/>
    <w:rsid w:val="00F81305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845F-206B-434D-8448-024DB4B3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3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2388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2021-03-17T14:19:00Z</dcterms:created>
  <dcterms:modified xsi:type="dcterms:W3CDTF">2021-03-17T15:46:00Z</dcterms:modified>
</cp:coreProperties>
</file>