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color w:val="000000"/>
          <w:lang w:val="fr-CA"/>
        </w:rPr>
      </w:pPr>
      <w:r w:rsidRPr="00F94444">
        <w:rPr>
          <w:b/>
          <w:lang w:val="fr-CA"/>
        </w:rPr>
        <w:t>Sofosbuvir / Velpatasvir (Epclusa)</w:t>
      </w:r>
      <w:r w:rsidR="001138BD" w:rsidRPr="001138BD">
        <w:rPr>
          <w:b/>
          <w:lang w:val="fr-CA"/>
        </w:rPr>
        <w:t xml:space="preserve"> 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r w:rsidRPr="00B906ED">
        <w:rPr>
          <w:color w:val="000000"/>
          <w:lang w:val="fr-CA"/>
        </w:rPr>
        <w:t xml:space="preserve">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DC5FC2" w:rsidRPr="00BE7B9D">
        <w:rPr>
          <w:rFonts w:eastAsia="Century Gothic"/>
          <w:lang w:val="en-CA"/>
        </w:rPr>
        <w:t>Carbamazepine, oxcarbazepine, phenobarbital</w:t>
      </w:r>
      <w:r w:rsidR="00DC5FC2">
        <w:rPr>
          <w:rFonts w:eastAsia="Century Gothic"/>
          <w:lang w:val="en-CA"/>
        </w:rPr>
        <w:t xml:space="preserve"> and</w:t>
      </w:r>
      <w:r w:rsidR="00DC5FC2" w:rsidRPr="00BE7B9D">
        <w:rPr>
          <w:rFonts w:eastAsia="Century Gothic"/>
          <w:lang w:val="en-CA"/>
        </w:rPr>
        <w:t xml:space="preserve"> phenytoin</w:t>
      </w:r>
      <w:r w:rsidR="00DC5FC2">
        <w:rPr>
          <w:rFonts w:eastAsia="Century Gothic"/>
          <w:lang w:val="en-CA"/>
        </w:rPr>
        <w:t xml:space="preserve"> are potent CYP 3A4 and P-gp inducers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906ED" w:rsidRPr="00BE7B9D">
        <w:rPr>
          <w:rFonts w:eastAsia="Century Gothic"/>
          <w:b/>
          <w:i/>
          <w:lang w:val="en-CA"/>
        </w:rPr>
        <w:t>anticonvulsivants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>However, according to the monographs, concomitant use of these anti-HCV drugs with potent CYP 3A4 inducers such as carbamazepine, oxcarbazepine, phenobarbital and phenytoin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>Possible therapeutic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r w:rsidRPr="001375FF">
        <w:rPr>
          <w:rFonts w:eastAsia="Century Gothic"/>
          <w:b/>
          <w:lang w:val="fr-CA"/>
        </w:rPr>
        <w:t>name</w:t>
      </w:r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1375FF" w:rsidP="001375F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1375FF">
        <w:rPr>
          <w:rFonts w:eastAsia="Century Gothic"/>
          <w:lang w:val="fr-CA"/>
        </w:rPr>
        <w:t xml:space="preserve">Substitute anticonvulsant for: </w:t>
      </w:r>
      <w:r>
        <w:rPr>
          <w:rFonts w:eastAsia="Century Gothic"/>
          <w:lang w:val="fr-CA"/>
        </w:rPr>
        <w:t>g</w:t>
      </w:r>
      <w:r w:rsidRPr="001375FF">
        <w:rPr>
          <w:rFonts w:eastAsia="Century Gothic"/>
          <w:lang w:val="fr-CA"/>
        </w:rPr>
        <w:t>abapentin, pregabalin or levetiracetam</w:t>
      </w:r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D2" w:rsidRDefault="00BA17D2" w:rsidP="00CD5A4A">
      <w:r>
        <w:separator/>
      </w:r>
    </w:p>
  </w:endnote>
  <w:endnote w:type="continuationSeparator" w:id="0">
    <w:p w:rsidR="00BA17D2" w:rsidRDefault="00BA17D2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D45E75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D2" w:rsidRDefault="00BA17D2" w:rsidP="00CD5A4A">
      <w:r>
        <w:separator/>
      </w:r>
    </w:p>
  </w:footnote>
  <w:footnote w:type="continuationSeparator" w:id="0">
    <w:p w:rsidR="00BA17D2" w:rsidRDefault="00BA17D2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17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A17D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17D2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CE6484"/>
    <w:rsid w:val="00D05073"/>
    <w:rsid w:val="00D213AD"/>
    <w:rsid w:val="00D45E75"/>
    <w:rsid w:val="00D809DD"/>
    <w:rsid w:val="00D86D63"/>
    <w:rsid w:val="00DA2944"/>
    <w:rsid w:val="00DA5A98"/>
    <w:rsid w:val="00DC5FC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F035-A872-4E77-A979-D60210E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1731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2021-03-15T12:33:00Z</dcterms:created>
  <dcterms:modified xsi:type="dcterms:W3CDTF">2021-03-15T12:33:00Z</dcterms:modified>
</cp:coreProperties>
</file>