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bookmarkStart w:id="0" w:name="_GoBack"/>
      <w:bookmarkEnd w:id="0"/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1205D7">
        <w:rPr>
          <w:rFonts w:eastAsia="Century Gothic"/>
          <w:b/>
          <w:lang w:val="en-CA"/>
        </w:rPr>
        <w:t>Digoxin</w:t>
      </w:r>
      <w:r w:rsidRPr="00BE7B9D">
        <w:rPr>
          <w:rFonts w:eastAsia="Century Gothic"/>
          <w:b/>
          <w:lang w:val="en-CA"/>
        </w:rPr>
        <w:t xml:space="preserve">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1205D7" w:rsidRDefault="001205D7" w:rsidP="00B906ED">
      <w:pPr>
        <w:ind w:left="720"/>
        <w:rPr>
          <w:color w:val="000000"/>
          <w:lang w:val="en-CA"/>
        </w:rPr>
      </w:pPr>
      <w:r w:rsidRPr="001205D7">
        <w:rPr>
          <w:b/>
          <w:lang w:val="en-CA"/>
        </w:rPr>
        <w:t xml:space="preserve">Sofosbuvir / Velpatasvir (Epclusa) </w:t>
      </w:r>
      <w:r w:rsidR="00B93894" w:rsidRPr="001205D7">
        <w:rPr>
          <w:color w:val="000000"/>
          <w:lang w:val="en-CA"/>
        </w:rPr>
        <w:t xml:space="preserve">     </w:t>
      </w:r>
      <w:r w:rsidR="00A32F36" w:rsidRPr="001205D7">
        <w:rPr>
          <w:b/>
          <w:color w:val="000000"/>
          <w:lang w:val="en-CA"/>
        </w:rPr>
        <w:t xml:space="preserve"> </w:t>
      </w:r>
      <w:r w:rsidR="00BE7B9D" w:rsidRPr="001205D7">
        <w:rPr>
          <w:b/>
          <w:color w:val="000000"/>
          <w:lang w:val="en-CA"/>
        </w:rPr>
        <w:t>and</w:t>
      </w:r>
      <w:r w:rsidR="00251915" w:rsidRPr="001205D7">
        <w:rPr>
          <w:color w:val="000000"/>
          <w:lang w:val="en-CA"/>
        </w:rPr>
        <w:t xml:space="preserve">   </w:t>
      </w:r>
      <w:r w:rsidRPr="001205D7">
        <w:rPr>
          <w:color w:val="000000"/>
          <w:lang w:val="en-CA"/>
        </w:rPr>
        <w:t>Digoxin (Lanoxin)</w:t>
      </w:r>
    </w:p>
    <w:p w:rsidR="00D05073" w:rsidRPr="001205D7" w:rsidRDefault="005B70C4" w:rsidP="001205D7">
      <w:pPr>
        <w:rPr>
          <w:color w:val="000000"/>
          <w:lang w:val="en-CA"/>
        </w:rPr>
      </w:pPr>
      <w:r w:rsidRPr="001205D7">
        <w:rPr>
          <w:color w:val="000000"/>
          <w:lang w:val="en-CA"/>
        </w:rPr>
        <w:t xml:space="preserve"> </w:t>
      </w:r>
    </w:p>
    <w:p w:rsidR="00F57980" w:rsidRPr="001205D7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1205D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1205D7" w:rsidRPr="001205D7">
        <w:rPr>
          <w:rFonts w:eastAsia="Century Gothic"/>
          <w:lang w:val="en-CA"/>
        </w:rPr>
        <w:t>An increased risk of adverse effects from digoxin may occur when co-administered with the above-mentioned anti-HCV drugs. The elimination of digoxin involves P-gp transporter which is inhibited by some anti-HCV</w:t>
      </w:r>
      <w:r w:rsidR="001205D7">
        <w:rPr>
          <w:rFonts w:eastAsia="Century Gothic"/>
          <w:lang w:val="en-CA"/>
        </w:rPr>
        <w:t>s</w:t>
      </w:r>
      <w:r w:rsidR="001205D7" w:rsidRPr="001205D7">
        <w:rPr>
          <w:rFonts w:eastAsia="Century Gothic"/>
          <w:lang w:val="en-CA"/>
        </w:rPr>
        <w:t>.</w:t>
      </w:r>
    </w:p>
    <w:p w:rsidR="00251915" w:rsidRPr="00BE7B9D" w:rsidRDefault="001205D7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1" w:name="bmAutoText1"/>
      <w:r w:rsidRPr="001205D7">
        <w:rPr>
          <w:rFonts w:eastAsia="Century Gothic"/>
          <w:b/>
          <w:i/>
          <w:lang w:val="en-CA"/>
        </w:rPr>
        <w:t>Sofosbuvir / Velpatasvir (Epclusa)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>
        <w:rPr>
          <w:rFonts w:eastAsia="Century Gothic"/>
          <w:b/>
          <w:i/>
          <w:lang w:val="en-CA"/>
        </w:rPr>
        <w:t>digoxin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1205D7" w:rsidRPr="001205D7" w:rsidRDefault="001205D7" w:rsidP="001205D7">
      <w:pPr>
        <w:pStyle w:val="Paragraphedeliste"/>
        <w:numPr>
          <w:ilvl w:val="0"/>
          <w:numId w:val="4"/>
        </w:numPr>
        <w:rPr>
          <w:rFonts w:eastAsia="Century Gothic"/>
          <w:u w:val="single"/>
          <w:lang w:val="en-CA"/>
        </w:rPr>
      </w:pPr>
      <w:r w:rsidRPr="001205D7">
        <w:rPr>
          <w:rFonts w:eastAsia="Century Gothic"/>
          <w:lang w:val="en-CA"/>
        </w:rPr>
        <w:t xml:space="preserve">Digoxin 0.25 mg single dose + velpatasvir 100 mg QD (21 healthy subjects) : </w:t>
      </w:r>
      <w:r w:rsidRPr="001205D7">
        <w:rPr>
          <w:rFonts w:eastAsia="Century Gothic"/>
          <w:color w:val="000000"/>
          <w:lang w:val="en-CA"/>
        </w:rPr>
        <w:t xml:space="preserve">↑ Digoxin </w:t>
      </w:r>
      <w:r w:rsidRPr="001205D7">
        <w:rPr>
          <w:rFonts w:eastAsia="Century Gothic"/>
          <w:lang w:val="en-CA"/>
        </w:rPr>
        <w:t xml:space="preserve">AUC and Cmax by 34% </w:t>
      </w:r>
      <w:r>
        <w:rPr>
          <w:rFonts w:eastAsia="Century Gothic"/>
          <w:lang w:val="en-CA"/>
        </w:rPr>
        <w:t>and</w:t>
      </w:r>
      <w:r w:rsidRPr="001205D7">
        <w:rPr>
          <w:rFonts w:eastAsia="Century Gothic"/>
          <w:lang w:val="en-CA"/>
        </w:rPr>
        <w:t xml:space="preserve"> 88%</w:t>
      </w:r>
      <w:r>
        <w:rPr>
          <w:rFonts w:eastAsia="Century Gothic"/>
          <w:lang w:val="en-CA"/>
        </w:rPr>
        <w:t>,</w:t>
      </w:r>
      <w:r w:rsidRPr="001205D7">
        <w:rPr>
          <w:rFonts w:eastAsia="Century Gothic"/>
          <w:lang w:val="en-CA"/>
        </w:rPr>
        <w:t xml:space="preserve"> respective</w:t>
      </w:r>
      <w:r>
        <w:rPr>
          <w:rFonts w:eastAsia="Century Gothic"/>
          <w:lang w:val="en-CA"/>
        </w:rPr>
        <w:t>ly</w:t>
      </w:r>
      <w:r w:rsidRPr="001205D7">
        <w:rPr>
          <w:rFonts w:eastAsia="Century Gothic"/>
          <w:lang w:val="en-CA"/>
        </w:rPr>
        <w:t>.</w:t>
      </w:r>
    </w:p>
    <w:p w:rsidR="001205D7" w:rsidRPr="006C29F3" w:rsidRDefault="001205D7" w:rsidP="001205D7">
      <w:pPr>
        <w:pStyle w:val="Paragraphedeliste"/>
        <w:numPr>
          <w:ilvl w:val="0"/>
          <w:numId w:val="4"/>
        </w:numPr>
        <w:rPr>
          <w:rFonts w:eastAsia="Century Gothic"/>
          <w:bCs/>
          <w:lang w:val="en-CA"/>
        </w:rPr>
      </w:pPr>
      <w:r w:rsidRPr="006C29F3">
        <w:rPr>
          <w:rFonts w:eastAsia="Century Gothic"/>
          <w:bCs/>
          <w:lang w:val="en-CA"/>
        </w:rPr>
        <w:t xml:space="preserve">Product monograph recommends </w:t>
      </w:r>
      <w:r w:rsidR="00D3744B">
        <w:rPr>
          <w:rFonts w:eastAsia="Century Gothic"/>
          <w:bCs/>
          <w:lang w:val="en-CA"/>
        </w:rPr>
        <w:t>using</w:t>
      </w:r>
      <w:r w:rsidRPr="006C29F3">
        <w:rPr>
          <w:rFonts w:eastAsia="Century Gothic"/>
          <w:bCs/>
          <w:lang w:val="en-CA"/>
        </w:rPr>
        <w:t xml:space="preserve"> this combination </w:t>
      </w:r>
      <w:r w:rsidR="006C29F3">
        <w:rPr>
          <w:rFonts w:eastAsia="Century Gothic"/>
          <w:bCs/>
          <w:lang w:val="en-CA"/>
        </w:rPr>
        <w:t>with caution</w:t>
      </w:r>
      <w:r w:rsidRPr="006C29F3">
        <w:rPr>
          <w:rFonts w:eastAsia="Century Gothic"/>
          <w:bCs/>
          <w:lang w:val="en-CA"/>
        </w:rPr>
        <w:t>.</w:t>
      </w:r>
    </w:p>
    <w:p w:rsidR="00B906ED" w:rsidRPr="006C29F3" w:rsidRDefault="00B906ED" w:rsidP="00B906ED">
      <w:pPr>
        <w:tabs>
          <w:tab w:val="left" w:pos="1965"/>
        </w:tabs>
        <w:rPr>
          <w:lang w:val="en-CA"/>
        </w:rPr>
      </w:pPr>
    </w:p>
    <w:p w:rsidR="00B906ED" w:rsidRPr="001A34BA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1A34BA">
        <w:rPr>
          <w:rFonts w:eastAsia="Century Gothic"/>
          <w:u w:val="single"/>
          <w:lang w:val="en-CA"/>
        </w:rPr>
        <w:t>Possible therapeutic options</w:t>
      </w:r>
      <w:r w:rsidR="006C29F3" w:rsidRPr="001A34BA">
        <w:rPr>
          <w:rFonts w:eastAsia="Century Gothic"/>
          <w:u w:val="single"/>
          <w:lang w:val="en-CA"/>
        </w:rPr>
        <w:t xml:space="preserve"> (Digoxin) </w:t>
      </w:r>
      <w:r w:rsidR="00B906ED" w:rsidRPr="001A34BA">
        <w:rPr>
          <w:rFonts w:eastAsia="Century Gothic"/>
          <w:u w:val="single"/>
          <w:lang w:val="en-CA"/>
        </w:rPr>
        <w:t>:</w:t>
      </w:r>
      <w:r w:rsidR="00B906ED" w:rsidRPr="001A34BA">
        <w:rPr>
          <w:rFonts w:eastAsia="Century Gothic"/>
          <w:lang w:val="en-CA"/>
        </w:rPr>
        <w:t xml:space="preserve">    </w:t>
      </w:r>
    </w:p>
    <w:p w:rsidR="00B906ED" w:rsidRPr="006C29F3" w:rsidRDefault="006C29F3" w:rsidP="00B906ED">
      <w:pPr>
        <w:tabs>
          <w:tab w:val="left" w:pos="1965"/>
        </w:tabs>
        <w:rPr>
          <w:rFonts w:eastAsia="Century Gothic"/>
          <w:lang w:val="en-CA"/>
        </w:rPr>
      </w:pPr>
      <w:r w:rsidRPr="006C29F3">
        <w:rPr>
          <w:rFonts w:eastAsia="Century Gothic"/>
          <w:lang w:val="en-CA"/>
        </w:rPr>
        <w:t>If digoxin is added to existing anti-HCV therapy.</w:t>
      </w:r>
    </w:p>
    <w:p w:rsidR="00B906ED" w:rsidRPr="006C29F3" w:rsidRDefault="006C29F3" w:rsidP="006C29F3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6C29F3">
        <w:rPr>
          <w:rFonts w:eastAsia="Century Gothic"/>
          <w:lang w:val="en-CA"/>
        </w:rPr>
        <w:t>If combination is necessary, start digoxin with a small dose and then gradually increase depending on efficacy and tolerance.</w:t>
      </w:r>
    </w:p>
    <w:p w:rsidR="00B906ED" w:rsidRDefault="00B906ED" w:rsidP="006C29F3">
      <w:pPr>
        <w:rPr>
          <w:rFonts w:eastAsia="Century Gothic"/>
          <w:lang w:val="en-CA"/>
        </w:rPr>
      </w:pPr>
    </w:p>
    <w:p w:rsidR="006C29F3" w:rsidRPr="006C29F3" w:rsidRDefault="006C29F3" w:rsidP="006C29F3">
      <w:pPr>
        <w:rPr>
          <w:rFonts w:eastAsia="Century Gothic"/>
          <w:lang w:val="en-CA"/>
        </w:rPr>
      </w:pPr>
      <w:r w:rsidRPr="006C29F3">
        <w:rPr>
          <w:rFonts w:eastAsia="Century Gothic"/>
          <w:lang w:val="en-CA"/>
        </w:rPr>
        <w:t>If the patient is already on digoxin and the anti-HCV therapy is started</w:t>
      </w:r>
    </w:p>
    <w:p w:rsidR="006C29F3" w:rsidRDefault="006C29F3" w:rsidP="006C29F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6C29F3">
        <w:rPr>
          <w:rFonts w:eastAsia="Century Gothic"/>
        </w:rPr>
        <w:t>If combination is needed, decrease the current dose of digoxin and gradually increase the dose according to digoxinemia, efficacy and tolerance.</w:t>
      </w:r>
    </w:p>
    <w:p w:rsidR="006C29F3" w:rsidRDefault="006C29F3" w:rsidP="006C29F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6C29F3">
        <w:rPr>
          <w:rFonts w:eastAsia="Century Gothic"/>
        </w:rPr>
        <w:t>Keep the current dose and closely monitor the side effects associated with digoxin.</w:t>
      </w:r>
    </w:p>
    <w:p w:rsidR="006C29F3" w:rsidRDefault="006C29F3" w:rsidP="006C29F3">
      <w:pPr>
        <w:jc w:val="both"/>
        <w:rPr>
          <w:rFonts w:eastAsia="Century Gothic"/>
        </w:rPr>
      </w:pPr>
    </w:p>
    <w:p w:rsidR="006C29F3" w:rsidRPr="006C29F3" w:rsidRDefault="006C29F3" w:rsidP="006C29F3">
      <w:pPr>
        <w:jc w:val="both"/>
        <w:rPr>
          <w:rFonts w:eastAsia="Century Gothic"/>
        </w:rPr>
      </w:pPr>
      <w:r w:rsidRPr="006C29F3">
        <w:rPr>
          <w:rFonts w:eastAsia="Century Gothic"/>
        </w:rPr>
        <w:t>Patient currently on treatment with this association</w:t>
      </w:r>
      <w:r>
        <w:rPr>
          <w:rFonts w:eastAsia="Century Gothic"/>
        </w:rPr>
        <w:t xml:space="preserve"> and tolerating it</w:t>
      </w:r>
    </w:p>
    <w:p w:rsidR="006C29F3" w:rsidRDefault="006C29F3" w:rsidP="006C29F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6C29F3">
        <w:rPr>
          <w:rFonts w:eastAsia="Century Gothic"/>
        </w:rPr>
        <w:t>Keep this combination and closely monitor any adverse effects that may occur.</w:t>
      </w:r>
    </w:p>
    <w:p w:rsidR="006C29F3" w:rsidRDefault="00243113" w:rsidP="0024311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 xml:space="preserve">Perform a </w:t>
      </w:r>
      <w:r w:rsidRPr="00243113">
        <w:rPr>
          <w:rFonts w:eastAsia="Century Gothic"/>
        </w:rPr>
        <w:t>control digoxinemia</w:t>
      </w:r>
      <w:r>
        <w:rPr>
          <w:rFonts w:eastAsia="Century Gothic"/>
        </w:rPr>
        <w:t>.</w:t>
      </w:r>
    </w:p>
    <w:p w:rsidR="00243113" w:rsidRDefault="00243113" w:rsidP="0024311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243113">
        <w:rPr>
          <w:rFonts w:eastAsia="Century Gothic"/>
        </w:rPr>
        <w:t>A control ECG could be done, especially in patients with a risk of QT prolongation. Be sure to correct electrolyte disturbances.</w:t>
      </w:r>
    </w:p>
    <w:p w:rsidR="00243113" w:rsidRDefault="00243113" w:rsidP="00243113">
      <w:pPr>
        <w:pStyle w:val="Paragraphedeliste"/>
        <w:jc w:val="both"/>
        <w:rPr>
          <w:rFonts w:eastAsia="Century Gothic"/>
        </w:rPr>
      </w:pPr>
    </w:p>
    <w:p w:rsidR="00B906ED" w:rsidRPr="00243113" w:rsidRDefault="00243113" w:rsidP="00243113">
      <w:pPr>
        <w:jc w:val="both"/>
        <w:rPr>
          <w:rFonts w:eastAsia="Century Gothic"/>
        </w:rPr>
      </w:pPr>
      <w:r w:rsidRPr="00243113">
        <w:rPr>
          <w:rFonts w:eastAsia="Century Gothic"/>
          <w:b/>
        </w:rPr>
        <w:t>Suggested dosage</w:t>
      </w:r>
      <w:r w:rsidR="00B906ED" w:rsidRPr="00243113">
        <w:rPr>
          <w:rFonts w:eastAsia="Century Gothic"/>
          <w:b/>
        </w:rPr>
        <w:t xml:space="preserve"> :</w:t>
      </w:r>
      <w:r w:rsidR="00B906ED" w:rsidRPr="00243113">
        <w:rPr>
          <w:rFonts w:eastAsia="Century Gothic"/>
        </w:rPr>
        <w:t>_________</w:t>
      </w:r>
      <w:r>
        <w:rPr>
          <w:rFonts w:eastAsia="Century Gothic"/>
        </w:rPr>
        <w:t>___________________________</w:t>
      </w:r>
      <w:r w:rsidR="00B906ED" w:rsidRPr="00243113">
        <w:rPr>
          <w:rFonts w:eastAsia="Century Gothic"/>
        </w:rPr>
        <w:t>____________________________ REN : _______</w:t>
      </w:r>
    </w:p>
    <w:p w:rsidR="00243113" w:rsidRPr="00243113" w:rsidRDefault="00243113" w:rsidP="00243113">
      <w:pPr>
        <w:pStyle w:val="Paragraphedeliste"/>
        <w:rPr>
          <w:rFonts w:eastAsia="Century Gothic"/>
        </w:rPr>
      </w:pPr>
    </w:p>
    <w:p w:rsidR="00243113" w:rsidRDefault="00243113" w:rsidP="00243113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 xml:space="preserve">Other </w:t>
      </w:r>
      <w:r w:rsidRPr="00DA2944">
        <w:rPr>
          <w:rFonts w:eastAsia="Century Gothic"/>
        </w:rPr>
        <w:t>:_____________________________________________________________________ REN :</w:t>
      </w:r>
      <w:r>
        <w:rPr>
          <w:rFonts w:eastAsia="Century Gothic"/>
        </w:rPr>
        <w:t xml:space="preserve"> _______</w:t>
      </w:r>
    </w:p>
    <w:p w:rsidR="00B906ED" w:rsidRPr="006C29F3" w:rsidRDefault="00B906ED" w:rsidP="00B906ED">
      <w:pPr>
        <w:spacing w:after="160" w:line="259" w:lineRule="auto"/>
        <w:jc w:val="both"/>
        <w:rPr>
          <w:rFonts w:eastAsia="Century Gothic"/>
          <w:b/>
          <w:lang w:val="en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43113" w:rsidRPr="00243113">
        <w:rPr>
          <w:rFonts w:eastAsia="Century Gothic"/>
          <w:lang w:val="en-CA"/>
        </w:rPr>
        <w:t>Monitor the side effects of digoxin and perform digoxinemia monitoring. According to the clinician's judgment, an ECG and electrolyte balance could be done.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29" w:rsidRDefault="00557929" w:rsidP="00CD5A4A">
      <w:r>
        <w:separator/>
      </w:r>
    </w:p>
  </w:endnote>
  <w:endnote w:type="continuationSeparator" w:id="0">
    <w:p w:rsidR="00557929" w:rsidRDefault="00557929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6815F9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29" w:rsidRDefault="00557929" w:rsidP="00CD5A4A">
      <w:r>
        <w:separator/>
      </w:r>
    </w:p>
  </w:footnote>
  <w:footnote w:type="continuationSeparator" w:id="0">
    <w:p w:rsidR="00557929" w:rsidRDefault="00557929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5792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57929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B6B1E"/>
    <w:rsid w:val="000C1844"/>
    <w:rsid w:val="0010058A"/>
    <w:rsid w:val="001205D7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A34BA"/>
    <w:rsid w:val="001B0F0C"/>
    <w:rsid w:val="001B649A"/>
    <w:rsid w:val="001C7F09"/>
    <w:rsid w:val="00200B48"/>
    <w:rsid w:val="002128AF"/>
    <w:rsid w:val="002264DF"/>
    <w:rsid w:val="00243113"/>
    <w:rsid w:val="00251915"/>
    <w:rsid w:val="00261691"/>
    <w:rsid w:val="00291C2D"/>
    <w:rsid w:val="002A76EB"/>
    <w:rsid w:val="002B66D9"/>
    <w:rsid w:val="002B671D"/>
    <w:rsid w:val="002E51C3"/>
    <w:rsid w:val="002F6838"/>
    <w:rsid w:val="0030271F"/>
    <w:rsid w:val="00310298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57929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815F9"/>
    <w:rsid w:val="006A0FA7"/>
    <w:rsid w:val="006A74B9"/>
    <w:rsid w:val="006B2F22"/>
    <w:rsid w:val="006C29F3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3744B"/>
    <w:rsid w:val="00D809DD"/>
    <w:rsid w:val="00D83AB9"/>
    <w:rsid w:val="00D86D63"/>
    <w:rsid w:val="00DA2944"/>
    <w:rsid w:val="00DA5A98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79A5-F804-4440-ADAE-9F987A39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2224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2021-03-15T13:13:00Z</dcterms:created>
  <dcterms:modified xsi:type="dcterms:W3CDTF">2021-03-15T13:13:00Z</dcterms:modified>
</cp:coreProperties>
</file>