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C047C6">
        <w:rPr>
          <w:rFonts w:eastAsia="Century Gothic"/>
          <w:b/>
          <w:lang w:val="en-CA"/>
        </w:rPr>
        <w:t>s</w:t>
      </w:r>
      <w:bookmarkStart w:id="0" w:name="_GoBack"/>
      <w:bookmarkEnd w:id="0"/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ED376C" w:rsidP="00B906ED">
      <w:pPr>
        <w:ind w:left="720"/>
        <w:rPr>
          <w:rFonts w:eastAsia="Century Gothic"/>
          <w:lang w:val="en-CA"/>
        </w:rPr>
      </w:pPr>
      <w:proofErr w:type="spellStart"/>
      <w:r w:rsidRPr="00ED376C">
        <w:rPr>
          <w:b/>
          <w:lang w:val="en-CA"/>
        </w:rPr>
        <w:t>L</w:t>
      </w:r>
      <w:r>
        <w:rPr>
          <w:b/>
          <w:lang w:val="en-CA"/>
        </w:rPr>
        <w:t>e</w:t>
      </w:r>
      <w:r w:rsidRPr="00ED376C">
        <w:rPr>
          <w:b/>
          <w:lang w:val="en-CA"/>
        </w:rPr>
        <w:t>dipasvir</w:t>
      </w:r>
      <w:proofErr w:type="spellEnd"/>
      <w:r w:rsidRPr="00ED376C">
        <w:rPr>
          <w:b/>
          <w:lang w:val="en-CA"/>
        </w:rPr>
        <w:t>/</w:t>
      </w:r>
      <w:proofErr w:type="spellStart"/>
      <w:r w:rsidRPr="00ED376C">
        <w:rPr>
          <w:b/>
          <w:lang w:val="en-CA"/>
        </w:rPr>
        <w:t>Sofosbuvir</w:t>
      </w:r>
      <w:proofErr w:type="spellEnd"/>
      <w:r w:rsidRPr="00ED376C">
        <w:rPr>
          <w:b/>
          <w:lang w:val="en-CA"/>
        </w:rPr>
        <w:t xml:space="preserve"> (</w:t>
      </w:r>
      <w:proofErr w:type="spellStart"/>
      <w:r w:rsidRPr="00ED376C">
        <w:rPr>
          <w:b/>
          <w:lang w:val="en-CA"/>
        </w:rPr>
        <w:t>Harvoni</w:t>
      </w:r>
      <w:proofErr w:type="spellEnd"/>
      <w:r w:rsidRPr="00ED376C">
        <w:rPr>
          <w:b/>
          <w:lang w:val="en-CA"/>
        </w:rPr>
        <w:t>)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2B2DB7">
        <w:rPr>
          <w:color w:val="000000"/>
          <w:lang w:val="en-CA"/>
        </w:rPr>
        <w:t>Atorvastatin</w:t>
      </w:r>
      <w:r w:rsidR="002B2DB7" w:rsidRPr="002B2DB7">
        <w:rPr>
          <w:color w:val="000000"/>
          <w:lang w:val="en-CA"/>
        </w:rPr>
        <w:t xml:space="preserve"> (Lipitor)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</w:t>
      </w:r>
      <w:proofErr w:type="spellStart"/>
      <w:r w:rsidR="002B2DB7">
        <w:rPr>
          <w:rFonts w:eastAsia="Century Gothic"/>
          <w:lang w:val="en-CA"/>
        </w:rPr>
        <w:t>gp</w:t>
      </w:r>
      <w:proofErr w:type="spellEnd"/>
      <w:r w:rsidR="002B2DB7">
        <w:rPr>
          <w:rFonts w:eastAsia="Century Gothic"/>
          <w:lang w:val="en-CA"/>
        </w:rPr>
        <w:t>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ED376C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proofErr w:type="spellStart"/>
      <w:r w:rsidRPr="00ED376C">
        <w:rPr>
          <w:rFonts w:eastAsia="Century Gothic"/>
          <w:b/>
          <w:i/>
          <w:lang w:val="en-CA"/>
        </w:rPr>
        <w:t>L</w:t>
      </w:r>
      <w:r>
        <w:rPr>
          <w:rFonts w:eastAsia="Century Gothic"/>
          <w:b/>
          <w:i/>
          <w:lang w:val="en-CA"/>
        </w:rPr>
        <w:t>e</w:t>
      </w:r>
      <w:r w:rsidRPr="00ED376C">
        <w:rPr>
          <w:rFonts w:eastAsia="Century Gothic"/>
          <w:b/>
          <w:i/>
          <w:lang w:val="en-CA"/>
        </w:rPr>
        <w:t>dipasvir</w:t>
      </w:r>
      <w:proofErr w:type="spellEnd"/>
      <w:r w:rsidRPr="00ED376C">
        <w:rPr>
          <w:rFonts w:eastAsia="Century Gothic"/>
          <w:b/>
          <w:i/>
          <w:lang w:val="en-CA"/>
        </w:rPr>
        <w:t>/</w:t>
      </w:r>
      <w:proofErr w:type="spellStart"/>
      <w:r w:rsidRPr="00ED376C">
        <w:rPr>
          <w:rFonts w:eastAsia="Century Gothic"/>
          <w:b/>
          <w:i/>
          <w:lang w:val="en-CA"/>
        </w:rPr>
        <w:t>Sofosbuvir</w:t>
      </w:r>
      <w:proofErr w:type="spellEnd"/>
      <w:r w:rsidRPr="00ED376C">
        <w:rPr>
          <w:rFonts w:eastAsia="Century Gothic"/>
          <w:b/>
          <w:i/>
          <w:lang w:val="en-CA"/>
        </w:rPr>
        <w:t xml:space="preserve"> (</w:t>
      </w:r>
      <w:proofErr w:type="spellStart"/>
      <w:r w:rsidRPr="00ED376C">
        <w:rPr>
          <w:rFonts w:eastAsia="Century Gothic"/>
          <w:b/>
          <w:i/>
          <w:lang w:val="en-CA"/>
        </w:rPr>
        <w:t>Harvoni</w:t>
      </w:r>
      <w:proofErr w:type="spellEnd"/>
      <w:r w:rsidRPr="00ED376C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2DB7">
        <w:rPr>
          <w:rFonts w:eastAsia="Century Gothic"/>
          <w:b/>
          <w:i/>
          <w:lang w:val="en-CA"/>
        </w:rPr>
        <w:t>Atorvastatin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366666" w:rsidP="001375FF">
      <w:pPr>
        <w:jc w:val="both"/>
        <w:rPr>
          <w:lang w:val="en-CA"/>
        </w:rPr>
      </w:pPr>
      <w:r w:rsidRPr="00366666">
        <w:rPr>
          <w:rFonts w:eastAsia="Century Gothic"/>
          <w:lang w:val="en-CA"/>
        </w:rPr>
        <w:t>No inte</w:t>
      </w:r>
      <w:r>
        <w:rPr>
          <w:rFonts w:eastAsia="Century Gothic"/>
          <w:lang w:val="en-CA"/>
        </w:rPr>
        <w:t xml:space="preserve">raction studies with </w:t>
      </w:r>
      <w:proofErr w:type="spellStart"/>
      <w:r>
        <w:rPr>
          <w:rFonts w:eastAsia="Century Gothic"/>
          <w:lang w:val="en-CA"/>
        </w:rPr>
        <w:t>Ledipasvir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366666">
        <w:rPr>
          <w:rFonts w:eastAsia="Century Gothic"/>
          <w:lang w:val="en-CA"/>
        </w:rPr>
        <w:t>Sofosbuvir</w:t>
      </w:r>
      <w:proofErr w:type="spellEnd"/>
      <w:r w:rsidRPr="00366666">
        <w:rPr>
          <w:rFonts w:eastAsia="Century Gothic"/>
          <w:lang w:val="en-CA"/>
        </w:rPr>
        <w:t xml:space="preserve"> (</w:t>
      </w:r>
      <w:proofErr w:type="spellStart"/>
      <w:r w:rsidRPr="00366666">
        <w:rPr>
          <w:rFonts w:eastAsia="Century Gothic"/>
          <w:lang w:val="en-CA"/>
        </w:rPr>
        <w:t>Harvoni</w:t>
      </w:r>
      <w:proofErr w:type="spellEnd"/>
      <w:r w:rsidRPr="00366666">
        <w:rPr>
          <w:rFonts w:eastAsia="Century Gothic"/>
          <w:lang w:val="en-CA"/>
        </w:rPr>
        <w:t xml:space="preserve">) and Atorvastatin are available. The </w:t>
      </w:r>
      <w:r>
        <w:rPr>
          <w:rFonts w:eastAsia="Century Gothic"/>
          <w:lang w:val="en-CA"/>
        </w:rPr>
        <w:t xml:space="preserve">product </w:t>
      </w:r>
      <w:r w:rsidRPr="00366666">
        <w:rPr>
          <w:rFonts w:eastAsia="Century Gothic"/>
          <w:lang w:val="en-CA"/>
        </w:rPr>
        <w:t>monograph recommends using this combination with caution.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2B2DB7">
        <w:rPr>
          <w:rFonts w:eastAsia="Century Gothic"/>
          <w:u w:val="single"/>
          <w:lang w:val="en-CA"/>
        </w:rPr>
        <w:t>Atorvastatin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Atorvastatin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>Keep the same dose of Atorvastatin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Pr="002B2DB7">
        <w:rPr>
          <w:rFonts w:eastAsia="Century Gothic"/>
          <w:lang w:val="en-CA"/>
        </w:rPr>
        <w:t>Atorvastatin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366666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2E" w:rsidRDefault="00DC252E" w:rsidP="00CD5A4A">
      <w:r>
        <w:separator/>
      </w:r>
    </w:p>
  </w:endnote>
  <w:endnote w:type="continuationSeparator" w:id="0">
    <w:p w:rsidR="00DC252E" w:rsidRDefault="00DC252E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2E" w:rsidRDefault="00DC252E" w:rsidP="00CD5A4A">
      <w:r>
        <w:separator/>
      </w:r>
    </w:p>
  </w:footnote>
  <w:footnote w:type="continuationSeparator" w:id="0">
    <w:p w:rsidR="00DC252E" w:rsidRDefault="00DC252E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047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047C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66666"/>
    <w:rsid w:val="00385217"/>
    <w:rsid w:val="0039680A"/>
    <w:rsid w:val="003A2EBB"/>
    <w:rsid w:val="003C6E8F"/>
    <w:rsid w:val="003D7BCD"/>
    <w:rsid w:val="003E2387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047C6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252E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D376C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ED26-A445-4EC5-9553-7509DB3C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1561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2019-05-16T09:51:00Z</dcterms:created>
  <dcterms:modified xsi:type="dcterms:W3CDTF">2019-05-16T11:29:00Z</dcterms:modified>
</cp:coreProperties>
</file>