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1138BD" w:rsidP="00B906ED">
      <w:pPr>
        <w:ind w:left="720"/>
        <w:rPr>
          <w:color w:val="000000"/>
          <w:lang w:val="fr-CA"/>
        </w:rPr>
      </w:pPr>
      <w:proofErr w:type="spellStart"/>
      <w:r w:rsidRPr="001138BD">
        <w:rPr>
          <w:b/>
          <w:lang w:val="fr-CA"/>
        </w:rPr>
        <w:t>L</w:t>
      </w:r>
      <w:r>
        <w:rPr>
          <w:b/>
          <w:lang w:val="fr-CA"/>
        </w:rPr>
        <w:t>e</w:t>
      </w:r>
      <w:r w:rsidRPr="001138BD">
        <w:rPr>
          <w:b/>
          <w:lang w:val="fr-CA"/>
        </w:rPr>
        <w:t>dipasvir</w:t>
      </w:r>
      <w:proofErr w:type="spellEnd"/>
      <w:r w:rsidRPr="001138BD">
        <w:rPr>
          <w:b/>
          <w:lang w:val="fr-CA"/>
        </w:rPr>
        <w:t xml:space="preserve"> / </w:t>
      </w:r>
      <w:proofErr w:type="spellStart"/>
      <w:r w:rsidRPr="001138BD">
        <w:rPr>
          <w:b/>
          <w:lang w:val="fr-CA"/>
        </w:rPr>
        <w:t>Sofosbuvir</w:t>
      </w:r>
      <w:proofErr w:type="spellEnd"/>
      <w:r w:rsidRPr="001138BD">
        <w:rPr>
          <w:b/>
          <w:lang w:val="fr-CA"/>
        </w:rPr>
        <w:t xml:space="preserve"> (</w:t>
      </w:r>
      <w:proofErr w:type="spellStart"/>
      <w:r w:rsidRPr="001138BD">
        <w:rPr>
          <w:b/>
          <w:lang w:val="fr-CA"/>
        </w:rPr>
        <w:t>Harvoni</w:t>
      </w:r>
      <w:proofErr w:type="spellEnd"/>
      <w:r w:rsidRPr="001138BD">
        <w:rPr>
          <w:b/>
          <w:lang w:val="fr-CA"/>
        </w:rPr>
        <w:t xml:space="preserve">) 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BE7B9D">
        <w:rPr>
          <w:b/>
          <w:color w:val="000000"/>
          <w:lang w:val="fr-CA"/>
        </w:rPr>
        <w:t>and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Carbamaz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Tegretol</w:t>
      </w:r>
      <w:proofErr w:type="spellEnd"/>
      <w:r w:rsidRPr="00B906ED">
        <w:rPr>
          <w:color w:val="000000"/>
          <w:lang w:val="fr-CA"/>
        </w:rPr>
        <w:t>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Oxcarbaz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Trileptal</w:t>
      </w:r>
      <w:proofErr w:type="spellEnd"/>
      <w:r w:rsidRPr="00B906ED">
        <w:rPr>
          <w:color w:val="000000"/>
          <w:lang w:val="fr-CA"/>
        </w:rPr>
        <w:t>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nobarbital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Luminal</w:t>
      </w:r>
      <w:proofErr w:type="spellEnd"/>
      <w:r w:rsidRPr="00B906ED">
        <w:rPr>
          <w:color w:val="000000"/>
          <w:lang w:val="fr-CA"/>
        </w:rPr>
        <w:t>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nyto</w:t>
      </w:r>
      <w:r w:rsidR="00BE7B9D">
        <w:rPr>
          <w:color w:val="000000"/>
          <w:lang w:val="fr-CA"/>
        </w:rPr>
        <w:t>in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Dilantin</w:t>
      </w:r>
      <w:proofErr w:type="spellEnd"/>
      <w:r w:rsidRPr="00B906ED">
        <w:rPr>
          <w:color w:val="000000"/>
          <w:lang w:val="fr-CA"/>
        </w:rPr>
        <w:t>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spellStart"/>
      <w:proofErr w:type="gramStart"/>
      <w:r w:rsidRPr="00BE7B9D">
        <w:rPr>
          <w:rFonts w:eastAsia="Century Gothic"/>
          <w:b/>
          <w:lang w:val="en-CA"/>
        </w:rPr>
        <w:t>mecanism</w:t>
      </w:r>
      <w:proofErr w:type="spellEnd"/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741463" w:rsidRPr="00BE7B9D">
        <w:rPr>
          <w:rFonts w:eastAsia="Century Gothic"/>
          <w:lang w:val="en-CA"/>
        </w:rPr>
        <w:t>Carbamazepine, oxcarbazepine, phenobarbital</w:t>
      </w:r>
      <w:r w:rsidR="00741463">
        <w:rPr>
          <w:rFonts w:eastAsia="Century Gothic"/>
          <w:lang w:val="en-CA"/>
        </w:rPr>
        <w:t xml:space="preserve"> and</w:t>
      </w:r>
      <w:r w:rsidR="00741463" w:rsidRPr="00BE7B9D">
        <w:rPr>
          <w:rFonts w:eastAsia="Century Gothic"/>
          <w:lang w:val="en-CA"/>
        </w:rPr>
        <w:t xml:space="preserve"> phenytoin</w:t>
      </w:r>
      <w:r w:rsidR="00741463">
        <w:rPr>
          <w:rFonts w:eastAsia="Century Gothic"/>
          <w:lang w:val="en-CA"/>
        </w:rPr>
        <w:t xml:space="preserve"> are potent CYP 3A4 and P-</w:t>
      </w:r>
      <w:proofErr w:type="spellStart"/>
      <w:r w:rsidR="00741463">
        <w:rPr>
          <w:rFonts w:eastAsia="Century Gothic"/>
          <w:lang w:val="en-CA"/>
        </w:rPr>
        <w:t>gp</w:t>
      </w:r>
      <w:proofErr w:type="spellEnd"/>
      <w:r w:rsidR="00741463">
        <w:rPr>
          <w:rFonts w:eastAsia="Century Gothic"/>
          <w:lang w:val="en-CA"/>
        </w:rPr>
        <w:t xml:space="preserve"> inducers</w:t>
      </w:r>
      <w:r w:rsidR="00741463" w:rsidRPr="00BE7B9D">
        <w:rPr>
          <w:rFonts w:eastAsia="Century Gothic"/>
          <w:lang w:val="en-CA"/>
        </w:rPr>
        <w:t xml:space="preserve">. </w:t>
      </w:r>
      <w:bookmarkStart w:id="0" w:name="_GoBack"/>
      <w:bookmarkEnd w:id="0"/>
      <w:r w:rsidR="00BA2169" w:rsidRPr="00BA2169">
        <w:rPr>
          <w:rFonts w:eastAsia="Century Gothic"/>
          <w:lang w:val="en-CA"/>
        </w:rPr>
        <w:t>However, according to the monographs, concomitant use of these anti-HCV drugs with potent CYP 3A4 inducers such as carbamazepine, oxcarbazepine, phenobarbital and phenytoin is contraindicated or not recommended.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proofErr w:type="spellStart"/>
      <w:r w:rsidR="00B906ED" w:rsidRPr="00BE7B9D">
        <w:rPr>
          <w:rFonts w:eastAsia="Century Gothic"/>
          <w:b/>
          <w:i/>
          <w:lang w:val="en-CA"/>
        </w:rPr>
        <w:t>anticonvulsivants</w:t>
      </w:r>
      <w:proofErr w:type="spellEnd"/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BE7B9D" w:rsidRPr="00BE7B9D">
        <w:rPr>
          <w:rFonts w:eastAsia="Century Gothic"/>
          <w:lang w:val="en-CA"/>
        </w:rPr>
        <w:t>According to product monograph</w:t>
      </w:r>
      <w:r w:rsidR="00B906ED" w:rsidRPr="00BE7B9D">
        <w:rPr>
          <w:rFonts w:eastAsia="Century Gothic"/>
          <w:lang w:val="en-CA"/>
        </w:rPr>
        <w:t xml:space="preserve">, </w:t>
      </w:r>
      <w:r w:rsidR="00BE7B9D" w:rsidRPr="00BE7B9D">
        <w:rPr>
          <w:rFonts w:eastAsia="Century Gothic"/>
          <w:lang w:val="en-CA"/>
        </w:rPr>
        <w:t xml:space="preserve">concomitant use with potent CYP 3A4 inducers </w:t>
      </w:r>
      <w:r w:rsidR="001375FF">
        <w:rPr>
          <w:rFonts w:eastAsia="Century Gothic"/>
          <w:lang w:val="en-CA"/>
        </w:rPr>
        <w:t>as</w:t>
      </w:r>
      <w:r w:rsidR="00B906ED" w:rsidRPr="00BE7B9D">
        <w:rPr>
          <w:rFonts w:eastAsia="Century Gothic"/>
          <w:lang w:val="en-CA"/>
        </w:rPr>
        <w:t xml:space="preserve">  carbamaz</w:t>
      </w:r>
      <w:r w:rsidR="00BE7B9D" w:rsidRPr="00BE7B9D"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 xml:space="preserve">pine, </w:t>
      </w:r>
      <w:r w:rsidR="00BE7B9D" w:rsidRPr="00BE7B9D">
        <w:rPr>
          <w:rFonts w:eastAsia="Century Gothic"/>
          <w:lang w:val="en-CA"/>
        </w:rPr>
        <w:t>oxcarbaze</w:t>
      </w:r>
      <w:r w:rsidR="00B906ED" w:rsidRPr="00BE7B9D">
        <w:rPr>
          <w:rFonts w:eastAsia="Century Gothic"/>
          <w:lang w:val="en-CA"/>
        </w:rPr>
        <w:t>pine, ph</w:t>
      </w:r>
      <w:r w:rsidR="00BE7B9D" w:rsidRPr="00BE7B9D"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 xml:space="preserve">nobarbital </w:t>
      </w:r>
      <w:r w:rsidR="00BE7B9D" w:rsidRPr="00BE7B9D">
        <w:rPr>
          <w:rFonts w:eastAsia="Century Gothic"/>
          <w:lang w:val="en-CA"/>
        </w:rPr>
        <w:t>and</w:t>
      </w:r>
      <w:r w:rsidR="00B906ED" w:rsidRPr="00BE7B9D">
        <w:rPr>
          <w:rFonts w:eastAsia="Century Gothic"/>
          <w:lang w:val="en-CA"/>
        </w:rPr>
        <w:t xml:space="preserve"> ph</w:t>
      </w:r>
      <w:r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>nyto</w:t>
      </w:r>
      <w:r w:rsidR="00BE7B9D">
        <w:rPr>
          <w:rFonts w:eastAsia="Century Gothic"/>
          <w:lang w:val="en-CA"/>
        </w:rPr>
        <w:t>in</w:t>
      </w:r>
      <w:r w:rsidR="00B906ED" w:rsidRPr="00BE7B9D">
        <w:rPr>
          <w:rFonts w:eastAsia="Century Gothic"/>
          <w:lang w:val="en-CA"/>
        </w:rPr>
        <w:t xml:space="preserve"> </w:t>
      </w:r>
      <w:r w:rsidR="00BE7B9D">
        <w:rPr>
          <w:rFonts w:eastAsia="Century Gothic"/>
          <w:lang w:val="en-CA"/>
        </w:rPr>
        <w:t>is</w:t>
      </w:r>
      <w:r w:rsidR="00B906ED" w:rsidRPr="00BE7B9D">
        <w:rPr>
          <w:rFonts w:eastAsia="Century Gothic"/>
          <w:lang w:val="en-CA"/>
        </w:rPr>
        <w:t xml:space="preserve"> no</w:t>
      </w:r>
      <w:r w:rsidR="00BE7B9D">
        <w:rPr>
          <w:rFonts w:eastAsia="Century Gothic"/>
          <w:lang w:val="en-CA"/>
        </w:rPr>
        <w:t>t</w:t>
      </w:r>
      <w:r w:rsidR="00B906ED" w:rsidRPr="00BE7B9D">
        <w:rPr>
          <w:rFonts w:eastAsia="Century Gothic"/>
          <w:lang w:val="en-CA"/>
        </w:rPr>
        <w:t xml:space="preserve"> recomm</w:t>
      </w:r>
      <w:r w:rsidR="001375FF">
        <w:rPr>
          <w:rFonts w:eastAsia="Century Gothic"/>
          <w:lang w:val="en-CA"/>
        </w:rPr>
        <w:t>e</w:t>
      </w:r>
      <w:r w:rsidR="00B906ED" w:rsidRPr="00BE7B9D">
        <w:rPr>
          <w:rFonts w:eastAsia="Century Gothic"/>
          <w:lang w:val="en-CA"/>
        </w:rPr>
        <w:t>nd</w:t>
      </w:r>
      <w:r w:rsidR="001375FF">
        <w:rPr>
          <w:rFonts w:eastAsia="Century Gothic"/>
          <w:lang w:val="en-CA"/>
        </w:rPr>
        <w:t>ed</w:t>
      </w:r>
      <w:r w:rsidR="00B906ED" w:rsidRPr="00BE7B9D">
        <w:rPr>
          <w:rFonts w:eastAsia="Century Gothic"/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fr-CA"/>
        </w:rPr>
      </w:pPr>
      <w:r w:rsidRPr="001375FF">
        <w:rPr>
          <w:rFonts w:eastAsia="Century Gothic"/>
          <w:u w:val="single"/>
          <w:lang w:val="fr-CA"/>
        </w:rPr>
        <w:t xml:space="preserve">Possible </w:t>
      </w:r>
      <w:proofErr w:type="spellStart"/>
      <w:r w:rsidRPr="001375FF">
        <w:rPr>
          <w:rFonts w:eastAsia="Century Gothic"/>
          <w:u w:val="single"/>
          <w:lang w:val="fr-CA"/>
        </w:rPr>
        <w:t>therapeutic</w:t>
      </w:r>
      <w:proofErr w:type="spellEnd"/>
      <w:r w:rsidRPr="001375FF">
        <w:rPr>
          <w:rFonts w:eastAsia="Century Gothic"/>
          <w:u w:val="single"/>
          <w:lang w:val="fr-CA"/>
        </w:rPr>
        <w:t xml:space="preserve"> options</w:t>
      </w:r>
      <w:r w:rsidR="00B906ED">
        <w:rPr>
          <w:rFonts w:eastAsia="Century Gothic"/>
          <w:u w:val="single"/>
          <w:lang w:val="fr-CA"/>
        </w:rPr>
        <w:t>:</w:t>
      </w:r>
      <w:r w:rsidR="00B906ED">
        <w:rPr>
          <w:rFonts w:eastAsia="Century Gothic"/>
          <w:lang w:val="fr-CA"/>
        </w:rPr>
        <w:t xml:space="preserve">    </w:t>
      </w:r>
      <w:r w:rsidRPr="001375FF">
        <w:rPr>
          <w:rFonts w:eastAsia="Century Gothic"/>
          <w:b/>
          <w:lang w:val="fr-CA"/>
        </w:rPr>
        <w:t>A</w:t>
      </w:r>
      <w:r w:rsidR="00B906ED" w:rsidRPr="001375FF">
        <w:rPr>
          <w:rFonts w:eastAsia="Century Gothic"/>
          <w:b/>
          <w:lang w:val="fr-CA"/>
        </w:rPr>
        <w:t>nticonvulsivant </w:t>
      </w:r>
      <w:proofErr w:type="spellStart"/>
      <w:r w:rsidRPr="001375FF">
        <w:rPr>
          <w:rFonts w:eastAsia="Century Gothic"/>
          <w:b/>
          <w:lang w:val="fr-CA"/>
        </w:rPr>
        <w:t>name</w:t>
      </w:r>
      <w:proofErr w:type="spellEnd"/>
      <w:r>
        <w:rPr>
          <w:rFonts w:eastAsia="Century Gothic"/>
          <w:lang w:val="fr-CA"/>
        </w:rPr>
        <w:t xml:space="preserve"> </w:t>
      </w:r>
      <w:r w:rsidR="00B906ED">
        <w:rPr>
          <w:rFonts w:eastAsia="Century Gothic"/>
          <w:lang w:val="fr-CA"/>
        </w:rPr>
        <w:t>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1375FF" w:rsidP="001375F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1375FF">
        <w:rPr>
          <w:rFonts w:eastAsia="Century Gothic"/>
          <w:lang w:val="fr-CA"/>
        </w:rPr>
        <w:t xml:space="preserve">Substitute </w:t>
      </w:r>
      <w:proofErr w:type="spellStart"/>
      <w:r w:rsidRPr="001375FF">
        <w:rPr>
          <w:rFonts w:eastAsia="Century Gothic"/>
          <w:lang w:val="fr-CA"/>
        </w:rPr>
        <w:t>anticonvulsant</w:t>
      </w:r>
      <w:proofErr w:type="spellEnd"/>
      <w:r w:rsidRPr="001375FF">
        <w:rPr>
          <w:rFonts w:eastAsia="Century Gothic"/>
          <w:lang w:val="fr-CA"/>
        </w:rPr>
        <w:t xml:space="preserve"> for: </w:t>
      </w:r>
      <w:proofErr w:type="spellStart"/>
      <w:r>
        <w:rPr>
          <w:rFonts w:eastAsia="Century Gothic"/>
          <w:lang w:val="fr-CA"/>
        </w:rPr>
        <w:t>g</w:t>
      </w:r>
      <w:r w:rsidRPr="001375FF">
        <w:rPr>
          <w:rFonts w:eastAsia="Century Gothic"/>
          <w:lang w:val="fr-CA"/>
        </w:rPr>
        <w:t>abapentin</w:t>
      </w:r>
      <w:proofErr w:type="spellEnd"/>
      <w:r w:rsidRPr="001375FF">
        <w:rPr>
          <w:rFonts w:eastAsia="Century Gothic"/>
          <w:lang w:val="fr-CA"/>
        </w:rPr>
        <w:t xml:space="preserve">, </w:t>
      </w:r>
      <w:proofErr w:type="spellStart"/>
      <w:r w:rsidRPr="001375FF">
        <w:rPr>
          <w:rFonts w:eastAsia="Century Gothic"/>
          <w:lang w:val="fr-CA"/>
        </w:rPr>
        <w:t>pregabalin</w:t>
      </w:r>
      <w:proofErr w:type="spellEnd"/>
      <w:r w:rsidRPr="001375FF">
        <w:rPr>
          <w:rFonts w:eastAsia="Century Gothic"/>
          <w:lang w:val="fr-CA"/>
        </w:rPr>
        <w:t xml:space="preserve"> or </w:t>
      </w:r>
      <w:proofErr w:type="spellStart"/>
      <w:r w:rsidRPr="001375FF">
        <w:rPr>
          <w:rFonts w:eastAsia="Century Gothic"/>
          <w:lang w:val="fr-CA"/>
        </w:rPr>
        <w:t>levetiracetam</w:t>
      </w:r>
      <w:proofErr w:type="spellEnd"/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proofErr w:type="gramStart"/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> :</w:t>
      </w:r>
      <w:proofErr w:type="gramEnd"/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7F" w:rsidRDefault="0023127F" w:rsidP="00CD5A4A">
      <w:r>
        <w:separator/>
      </w:r>
    </w:p>
  </w:endnote>
  <w:endnote w:type="continuationSeparator" w:id="0">
    <w:p w:rsidR="0023127F" w:rsidRDefault="0023127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7F" w:rsidRDefault="0023127F" w:rsidP="00CD5A4A">
      <w:r>
        <w:separator/>
      </w:r>
    </w:p>
  </w:footnote>
  <w:footnote w:type="continuationSeparator" w:id="0">
    <w:p w:rsidR="0023127F" w:rsidRDefault="0023127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4146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41463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3127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6C83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1463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435C3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2169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A2944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842D-8EEA-4941-8631-869FA780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1664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2019-05-13T08:15:00Z</dcterms:created>
  <dcterms:modified xsi:type="dcterms:W3CDTF">2019-05-13T08:26:00Z</dcterms:modified>
</cp:coreProperties>
</file>