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8D" w:rsidRPr="000110B8" w:rsidRDefault="00414363">
      <w:pPr>
        <w:jc w:val="center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0110B8">
        <w:rPr>
          <w:rFonts w:ascii="Century Gothic" w:eastAsia="Century Gothic" w:hAnsi="Century Gothic" w:cs="Century Gothic"/>
          <w:sz w:val="22"/>
          <w:szCs w:val="22"/>
          <w:lang w:val="en-CA"/>
        </w:rPr>
        <w:t>Pharmaceutical opinion</w:t>
      </w:r>
      <w:r w:rsidR="004D4205" w:rsidRPr="000110B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</w:p>
    <w:p w:rsidR="00E5598D" w:rsidRPr="000110B8" w:rsidRDefault="00E5598D">
      <w:pPr>
        <w:jc w:val="center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Pr="00414363" w:rsidRDefault="004D4205">
      <w:pPr>
        <w:jc w:val="center"/>
        <w:rPr>
          <w:rFonts w:ascii="Century Gothic" w:eastAsia="Century Gothic" w:hAnsi="Century Gothic" w:cs="Century Gothic"/>
          <w:lang w:val="en-CA"/>
        </w:rPr>
      </w:pPr>
      <w:r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Interaction </w:t>
      </w:r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>between</w:t>
      </w:r>
      <w:r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oral anticoagulants and </w:t>
      </w:r>
      <w:proofErr w:type="spellStart"/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>antiretrovirals</w:t>
      </w:r>
      <w:proofErr w:type="spellEnd"/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combined with ritonavir, </w:t>
      </w:r>
      <w:proofErr w:type="spellStart"/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>cobicistat</w:t>
      </w:r>
      <w:proofErr w:type="spellEnd"/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or </w:t>
      </w:r>
      <w:proofErr w:type="spellStart"/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>atazanavir</w:t>
      </w:r>
      <w:proofErr w:type="spellEnd"/>
      <w:r w:rsidR="00414363"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alone</w:t>
      </w:r>
      <w:r w:rsidRPr="00414363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E5598D" w:rsidRPr="00414363" w:rsidRDefault="00E5598D">
      <w:pPr>
        <w:jc w:val="center"/>
        <w:rPr>
          <w:rFonts w:ascii="Century Gothic" w:eastAsia="Century Gothic" w:hAnsi="Century Gothic" w:cs="Century Gothic"/>
          <w:lang w:val="en-CA"/>
        </w:rPr>
      </w:pPr>
    </w:p>
    <w:p w:rsidR="00E5598D" w:rsidRPr="007D0B99" w:rsidRDefault="00414363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gramStart"/>
      <w:r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Patient</w:t>
      </w:r>
      <w:r w:rsidR="004D4205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 :</w:t>
      </w:r>
      <w:proofErr w:type="gramEnd"/>
      <w:r w:rsidR="004D4205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_________________________</w:t>
      </w:r>
      <w:r w:rsidR="004D4205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ab/>
      </w:r>
      <w:r w:rsidR="004D4205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ab/>
      </w:r>
      <w:r w:rsidR="004D4205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ab/>
        <w:t>D</w:t>
      </w:r>
      <w:r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OB</w:t>
      </w:r>
      <w:r w:rsidR="004D4205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 : _____/_____/_____</w:t>
      </w:r>
    </w:p>
    <w:p w:rsidR="00E5598D" w:rsidRPr="007D0B99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Pr="007D0B99" w:rsidRDefault="004D4205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gramStart"/>
      <w:r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T</w:t>
      </w:r>
      <w:r w:rsidR="00414363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l</w:t>
      </w:r>
      <w:r w:rsidR="00414363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phone :</w:t>
      </w:r>
      <w:proofErr w:type="gramEnd"/>
      <w:r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______________________________</w:t>
      </w:r>
    </w:p>
    <w:p w:rsidR="00E5598D" w:rsidRPr="007D0B99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Pr="007D0B99" w:rsidRDefault="007D0B99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>After analyzing your patient's file, I noticed a problem with his medication</w:t>
      </w:r>
      <w:r w:rsidR="004D4205" w:rsidRPr="007D0B99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</w:p>
    <w:p w:rsidR="00E5598D" w:rsidRPr="007D0B99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Interaction </w:t>
      </w:r>
      <w:proofErr w:type="spellStart"/>
      <w:r w:rsidR="007D0B99">
        <w:rPr>
          <w:rFonts w:ascii="Century Gothic" w:eastAsia="Century Gothic" w:hAnsi="Century Gothic" w:cs="Century Gothic"/>
          <w:sz w:val="22"/>
          <w:szCs w:val="22"/>
        </w:rPr>
        <w:t>between</w:t>
      </w:r>
      <w:proofErr w:type="spellEnd"/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Eliquis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Lixiana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E5598D" w:rsidRDefault="004D42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Xarelto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7D0B99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And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Prezcobix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Symtuza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lvit</w:t>
      </w:r>
      <w:r w:rsidR="007D0B99">
        <w:rPr>
          <w:rFonts w:ascii="Century Gothic" w:eastAsia="Century Gothic" w:hAnsi="Century Gothic" w:cs="Century Gothic"/>
          <w:color w:val="000000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gravir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Emtricitabine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T</w:t>
      </w:r>
      <w:r w:rsidR="007D0B99">
        <w:rPr>
          <w:rFonts w:ascii="Century Gothic" w:eastAsia="Century Gothic" w:hAnsi="Century Gothic" w:cs="Century Gothic"/>
          <w:color w:val="000000"/>
          <w:sz w:val="22"/>
          <w:szCs w:val="22"/>
        </w:rPr>
        <w:t>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nofovir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Stribild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Genvoya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Darunavir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Prezista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Norvir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Lopinavir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/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Kaletra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Atazanavir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Reyataz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 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Pr="0084215E" w:rsidRDefault="0084215E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84215E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An increased risk of </w:t>
      </w:r>
      <w:r w:rsidR="003E1702">
        <w:rPr>
          <w:rFonts w:ascii="Century Gothic" w:eastAsia="Century Gothic" w:hAnsi="Century Gothic" w:cs="Century Gothic"/>
          <w:sz w:val="22"/>
          <w:szCs w:val="22"/>
          <w:lang w:val="en-CA"/>
        </w:rPr>
        <w:t>adverse</w:t>
      </w:r>
      <w:r w:rsidRPr="0084215E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effects from oral anticoagulants may occur when co-administered with an antiretroviral listed above. </w:t>
      </w:r>
      <w:proofErr w:type="gramStart"/>
      <w:r w:rsidRPr="0084215E">
        <w:rPr>
          <w:rFonts w:ascii="Century Gothic" w:eastAsia="Century Gothic" w:hAnsi="Century Gothic" w:cs="Century Gothic"/>
          <w:sz w:val="22"/>
          <w:szCs w:val="22"/>
          <w:lang w:val="en-CA"/>
        </w:rPr>
        <w:t>here's</w:t>
      </w:r>
      <w:proofErr w:type="gramEnd"/>
      <w:r w:rsidRPr="0084215E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why</w:t>
      </w:r>
      <w:r w:rsidR="004D4205" w:rsidRPr="0084215E">
        <w:rPr>
          <w:rFonts w:ascii="Century Gothic" w:eastAsia="Century Gothic" w:hAnsi="Century Gothic" w:cs="Century Gothic"/>
          <w:sz w:val="22"/>
          <w:szCs w:val="22"/>
          <w:vertAlign w:val="superscript"/>
          <w:lang w:val="en-CA"/>
        </w:rPr>
        <w:t xml:space="preserve">1, 2, 4, 7, 10, 15, 16, 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  <w:lang w:val="en-CA"/>
        </w:rPr>
        <w:t>20</w:t>
      </w:r>
      <w:r w:rsidR="004D4205" w:rsidRPr="0084215E">
        <w:rPr>
          <w:rFonts w:ascii="Century Gothic" w:eastAsia="Century Gothic" w:hAnsi="Century Gothic" w:cs="Century Gothic"/>
          <w:sz w:val="22"/>
          <w:szCs w:val="22"/>
          <w:vertAlign w:val="superscript"/>
          <w:lang w:val="en-CA"/>
        </w:rPr>
        <w:t xml:space="preserve"> </w:t>
      </w:r>
      <w:r w:rsidR="004D4205" w:rsidRPr="0084215E">
        <w:rPr>
          <w:rFonts w:ascii="Century Gothic" w:eastAsia="Century Gothic" w:hAnsi="Century Gothic" w:cs="Century Gothic"/>
          <w:sz w:val="22"/>
          <w:szCs w:val="22"/>
          <w:lang w:val="en-CA"/>
        </w:rPr>
        <w:t>:</w:t>
      </w:r>
    </w:p>
    <w:p w:rsidR="00E5598D" w:rsidRPr="0084215E" w:rsidRDefault="0084215E" w:rsidP="008421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proofErr w:type="spellStart"/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obicistat</w:t>
      </w:r>
      <w:proofErr w:type="spellEnd"/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,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r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itonavir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and protease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inhibit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o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rs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(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Is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)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are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P-glycoprotein (P-</w:t>
      </w:r>
      <w:proofErr w:type="spellStart"/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gp</w:t>
      </w:r>
      <w:proofErr w:type="spellEnd"/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) transporter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and cytochrome (CYP) 3A4 inhibitors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</w:p>
    <w:p w:rsidR="00E5598D" w:rsidRPr="0084215E" w:rsidRDefault="0084215E" w:rsidP="0084215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The metabolism of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pixaban</w:t>
      </w:r>
      <w:proofErr w:type="spellEnd"/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, dabigatran</w:t>
      </w:r>
      <w:r w:rsidR="008E5BC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, </w:t>
      </w:r>
      <w:proofErr w:type="spellStart"/>
      <w:r w:rsidR="008E5BC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edoxaban</w:t>
      </w:r>
      <w:proofErr w:type="spellEnd"/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and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rivaroxaban 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involves this transporter and</w:t>
      </w:r>
      <w:r w:rsidR="008E5BC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/or</w:t>
      </w:r>
      <w:r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this cytochrome</w:t>
      </w:r>
      <w:r w:rsidR="004D4205" w:rsidRPr="0084215E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</w:p>
    <w:p w:rsidR="00E5598D" w:rsidRPr="003E1702" w:rsidRDefault="003E1702" w:rsidP="003E170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These inhibitions may increase their plasma concentration and their risk of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adverse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effects (bleeding).</w:t>
      </w:r>
    </w:p>
    <w:p w:rsidR="00E5598D" w:rsidRPr="003E1702" w:rsidRDefault="00E5598D">
      <w:pPr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</w:p>
    <w:p w:rsidR="00E5598D" w:rsidRPr="003E1702" w:rsidRDefault="003E1702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For more information, here are studies evaluating their potential for interactions</w:t>
      </w:r>
      <w:r w:rsidR="004D4205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 </w:t>
      </w:r>
      <w:r w:rsidR="001326BD" w:rsidRPr="001326BD">
        <w:rPr>
          <w:rFonts w:ascii="Century Gothic" w:eastAsia="Century Gothic" w:hAnsi="Century Gothic" w:cs="Century Gothic"/>
          <w:sz w:val="22"/>
          <w:szCs w:val="22"/>
          <w:vertAlign w:val="superscript"/>
          <w:lang w:val="en-CA"/>
        </w:rPr>
        <w:t xml:space="preserve">1, 3, 4, 5, 6, 7, 8, 9, </w:t>
      </w:r>
      <w:proofErr w:type="gramStart"/>
      <w:r w:rsidR="001326BD" w:rsidRPr="001326BD">
        <w:rPr>
          <w:rFonts w:ascii="Century Gothic" w:eastAsia="Century Gothic" w:hAnsi="Century Gothic" w:cs="Century Gothic"/>
          <w:sz w:val="22"/>
          <w:szCs w:val="22"/>
          <w:vertAlign w:val="superscript"/>
          <w:lang w:val="en-CA"/>
        </w:rPr>
        <w:t xml:space="preserve">16 </w:t>
      </w:r>
      <w:r w:rsidR="004D4205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:</w:t>
      </w:r>
      <w:proofErr w:type="gramEnd"/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Eliquis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 :</w:t>
      </w:r>
    </w:p>
    <w:p w:rsidR="00E5598D" w:rsidRPr="003E1702" w:rsidRDefault="004D4205" w:rsidP="003E1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K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toconazole + </w:t>
      </w:r>
      <w:proofErr w:type="spellStart"/>
      <w:proofErr w:type="gramStart"/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a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pixaban</w:t>
      </w:r>
      <w:proofErr w:type="spellEnd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 :</w:t>
      </w:r>
      <w:proofErr w:type="gramEnd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↑ 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area under the curve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(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AU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C)</w:t>
      </w:r>
      <w:r w:rsid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of </w:t>
      </w:r>
      <w:proofErr w:type="spellStart"/>
      <w:r w:rsid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apixaban</w:t>
      </w:r>
      <w:proofErr w:type="spellEnd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by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2</w:t>
      </w:r>
      <w:r w:rsid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-fold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</w:t>
      </w:r>
    </w:p>
    <w:p w:rsidR="00E5598D" w:rsidRPr="003E1702" w:rsidRDefault="00E5598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  <w:vertAlign w:val="superscript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Xarelto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  <w:proofErr w:type="gramStart"/>
      <w:r>
        <w:rPr>
          <w:rFonts w:ascii="Century Gothic" w:eastAsia="Century Gothic" w:hAnsi="Century Gothic" w:cs="Century Gothic"/>
          <w:b/>
          <w:sz w:val="22"/>
          <w:szCs w:val="22"/>
        </w:rPr>
        <w:t> 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b/>
          <w:sz w:val="22"/>
          <w:szCs w:val="22"/>
        </w:rPr>
        <w:t>:</w:t>
      </w:r>
      <w:proofErr w:type="gram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Pr="003E1702" w:rsidRDefault="004D42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Ritonavir + </w:t>
      </w:r>
      <w:proofErr w:type="gramStart"/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r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ivaroxaban :</w:t>
      </w:r>
      <w:proofErr w:type="gramEnd"/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↑ rivaroxaban AU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C) 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by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2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5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-fold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</w:p>
    <w:p w:rsidR="00E5598D" w:rsidRPr="003E1702" w:rsidRDefault="00E5598D">
      <w:pPr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Lixiana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)</w:t>
      </w:r>
    </w:p>
    <w:p w:rsidR="00E5598D" w:rsidRPr="003E1702" w:rsidRDefault="004D4205">
      <w:pPr>
        <w:numPr>
          <w:ilvl w:val="0"/>
          <w:numId w:val="5"/>
        </w:numPr>
        <w:jc w:val="both"/>
        <w:rPr>
          <w:sz w:val="22"/>
          <w:szCs w:val="22"/>
          <w:lang w:val="en-CA"/>
        </w:rPr>
      </w:pP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K</w:t>
      </w:r>
      <w:r w:rsidR="003E1702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toconazole + </w:t>
      </w:r>
      <w:proofErr w:type="spellStart"/>
      <w:proofErr w:type="gramStart"/>
      <w:r w:rsidR="003E1702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doxaban</w:t>
      </w:r>
      <w:proofErr w:type="spellEnd"/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 :</w:t>
      </w:r>
      <w:proofErr w:type="gramEnd"/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↑ </w:t>
      </w:r>
      <w:proofErr w:type="spellStart"/>
      <w:r w:rsidR="003E1702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edoxaban</w:t>
      </w:r>
      <w:proofErr w:type="spellEnd"/>
      <w:r w:rsidR="003E1702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AU</w:t>
      </w: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C</w:t>
      </w:r>
      <w:r w:rsidR="003E1702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by</w:t>
      </w: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87%. </w:t>
      </w:r>
    </w:p>
    <w:p w:rsidR="00E5598D" w:rsidRPr="003E1702" w:rsidRDefault="00E5598D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  <w:lang w:val="en-CA"/>
        </w:rPr>
      </w:pPr>
    </w:p>
    <w:p w:rsidR="001E1C54" w:rsidRDefault="001E1C54" w:rsidP="00B71E66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1E1C54" w:rsidRDefault="001E1C54" w:rsidP="00B71E66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1E1C54" w:rsidRDefault="001E1C54" w:rsidP="00B71E66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1E1C54" w:rsidRDefault="001E1C54" w:rsidP="00B71E66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1E66" w:rsidRDefault="00B71E66" w:rsidP="00B71E66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</w:t>
      </w:r>
    </w:p>
    <w:p w:rsidR="00B71E66" w:rsidRPr="003E1702" w:rsidRDefault="00B71E66" w:rsidP="00B71E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Some studies have shown a significant increase in dabigatran bioavailability when administered with P-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gp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inhibitors (ketoconazole and 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glecapr</w:t>
      </w:r>
      <w:r w:rsidR="001E1C54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</w:t>
      </w:r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vir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/</w:t>
      </w:r>
      <w:r w:rsidR="001E1C54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pibrentasvir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). The product monograph recommends caution when co-administering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with </w:t>
      </w:r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certain P-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gp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inhibitors, including but not limited to cyclosporine, 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itraconazole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, nelfinavir, 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posaconazole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, ritonavir, 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saquinavir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, tacrolimus and </w:t>
      </w:r>
      <w:proofErr w:type="spell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tipranavir</w:t>
      </w:r>
      <w:proofErr w:type="spellEnd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as they may increase systemic exposure to dabigatran</w:t>
      </w:r>
      <w:proofErr w:type="gram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  <w:proofErr w:type="gramEnd"/>
    </w:p>
    <w:p w:rsidR="00B71E66" w:rsidRPr="00B71E66" w:rsidRDefault="00B71E66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  <w:lang w:val="en-CA"/>
        </w:rPr>
      </w:pPr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:</w:t>
      </w:r>
    </w:p>
    <w:p w:rsidR="00E5598D" w:rsidRPr="003E1702" w:rsidRDefault="0014303F" w:rsidP="001430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14303F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Contrary to expectations, </w:t>
      </w:r>
      <w:r w:rsidR="004D4205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Ritonavir + </w:t>
      </w:r>
      <w:r w:rsidR="004D4205"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d</w:t>
      </w:r>
      <w:r w:rsidR="004D4205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abigatran (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simultaneously or 2 hours before ritonavir</w:t>
      </w:r>
      <w:proofErr w:type="gramStart"/>
      <w:r w:rsidR="004D4205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) :</w:t>
      </w:r>
      <w:proofErr w:type="gramEnd"/>
      <w:r w:rsidR="004D4205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no significant drug interactions</w:t>
      </w:r>
      <w:r w:rsidR="004D4205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</w:p>
    <w:p w:rsidR="00E5598D" w:rsidRPr="003E1702" w:rsidRDefault="004D4205" w:rsidP="003E1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proofErr w:type="spellStart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Lopinavir</w:t>
      </w:r>
      <w:proofErr w:type="spellEnd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/</w:t>
      </w:r>
      <w:proofErr w:type="gramStart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ritonavir :</w:t>
      </w:r>
      <w:proofErr w:type="gramEnd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 case report that has also been published and does not demonstrate any interaction between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proofErr w:type="spellStart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lopinavir</w:t>
      </w:r>
      <w:proofErr w:type="spellEnd"/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/ritonavir </w:t>
      </w:r>
      <w:r w:rsidR="003E1702"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and </w:t>
      </w:r>
      <w:r w:rsidRPr="003E1702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dabigatran.</w:t>
      </w:r>
    </w:p>
    <w:p w:rsidR="00E5598D" w:rsidRDefault="003E1702" w:rsidP="003E17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Two other ca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se reports, one with </w:t>
      </w:r>
      <w:proofErr w:type="spellStart"/>
      <w:r>
        <w:rPr>
          <w:rFonts w:ascii="Century Gothic" w:eastAsia="Century Gothic" w:hAnsi="Century Gothic" w:cs="Century Gothic"/>
          <w:sz w:val="22"/>
          <w:szCs w:val="22"/>
          <w:lang w:val="en-CA"/>
        </w:rPr>
        <w:t>atazanavir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  <w:lang w:val="en-CA"/>
        </w:rPr>
        <w:t>/</w:t>
      </w: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ritonavi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r and the other with </w:t>
      </w:r>
      <w:proofErr w:type="spellStart"/>
      <w:r>
        <w:rPr>
          <w:rFonts w:ascii="Century Gothic" w:eastAsia="Century Gothic" w:hAnsi="Century Gothic" w:cs="Century Gothic"/>
          <w:sz w:val="22"/>
          <w:szCs w:val="22"/>
          <w:lang w:val="en-CA"/>
        </w:rPr>
        <w:t>darunavir</w:t>
      </w:r>
      <w:proofErr w:type="spellEnd"/>
      <w:r>
        <w:rPr>
          <w:rFonts w:ascii="Century Gothic" w:eastAsia="Century Gothic" w:hAnsi="Century Gothic" w:cs="Century Gothic"/>
          <w:sz w:val="22"/>
          <w:szCs w:val="22"/>
          <w:lang w:val="en-CA"/>
        </w:rPr>
        <w:t>/</w:t>
      </w:r>
      <w:r w:rsidRPr="003E1702">
        <w:rPr>
          <w:rFonts w:ascii="Century Gothic" w:eastAsia="Century Gothic" w:hAnsi="Century Gothic" w:cs="Century Gothic"/>
          <w:sz w:val="22"/>
          <w:szCs w:val="22"/>
          <w:lang w:val="en-CA"/>
        </w:rPr>
        <w:t>ritonavir, showing no significant interactions have been published.</w:t>
      </w:r>
    </w:p>
    <w:p w:rsidR="003E1702" w:rsidRPr="003E1702" w:rsidRDefault="003E1702" w:rsidP="003E17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bookmarkStart w:id="0" w:name="_GoBack"/>
      <w:bookmarkEnd w:id="0"/>
    </w:p>
    <w:p w:rsidR="00E5598D" w:rsidRDefault="004D4205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(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) +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> :</w:t>
      </w:r>
    </w:p>
    <w:p w:rsidR="00E5598D" w:rsidRDefault="004D4205" w:rsidP="009E61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Cobicistat</w:t>
      </w:r>
      <w:proofErr w:type="spellEnd"/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+ dabigatran (</w:t>
      </w:r>
      <w:r w:rsidR="003E1702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simultaneously or 2 hours before </w:t>
      </w:r>
      <w:proofErr w:type="spellStart"/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cobicistat</w:t>
      </w:r>
      <w:proofErr w:type="spellEnd"/>
      <w:proofErr w:type="gramStart"/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) :</w:t>
      </w:r>
      <w:proofErr w:type="gramEnd"/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Unlike ritonavir, there is an approximately 2-fold increase in AUC of dabigatran</w:t>
      </w:r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</w:t>
      </w:r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It </w:t>
      </w:r>
      <w:proofErr w:type="spellStart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>is</w:t>
      </w:r>
      <w:proofErr w:type="spellEnd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>recommended</w:t>
      </w:r>
      <w:proofErr w:type="spellEnd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to </w:t>
      </w:r>
      <w:proofErr w:type="spellStart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>avoid</w:t>
      </w:r>
      <w:proofErr w:type="spellEnd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>this</w:t>
      </w:r>
      <w:proofErr w:type="spellEnd"/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proofErr w:type="spellStart"/>
      <w:r w:rsidR="009E61E7">
        <w:rPr>
          <w:rFonts w:ascii="Century Gothic" w:eastAsia="Century Gothic" w:hAnsi="Century Gothic" w:cs="Century Gothic"/>
          <w:color w:val="000000"/>
          <w:sz w:val="22"/>
          <w:szCs w:val="22"/>
        </w:rPr>
        <w:t>combin</w:t>
      </w:r>
      <w:r w:rsidR="009E61E7"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>ation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E5598D" w:rsidRDefault="00E5598D">
      <w:pPr>
        <w:widowControl w:val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Default="009E61E7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</w:rPr>
      </w:pPr>
      <w:r w:rsidRPr="009E61E7"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Possible </w:t>
      </w:r>
      <w:proofErr w:type="spellStart"/>
      <w:r w:rsidRPr="009E61E7">
        <w:rPr>
          <w:rFonts w:ascii="Century Gothic" w:eastAsia="Century Gothic" w:hAnsi="Century Gothic" w:cs="Century Gothic"/>
          <w:sz w:val="22"/>
          <w:szCs w:val="22"/>
          <w:u w:val="single"/>
        </w:rPr>
        <w:t>treatment</w:t>
      </w:r>
      <w:proofErr w:type="spellEnd"/>
      <w:r w:rsidRPr="009E61E7"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options </w:t>
      </w:r>
      <w:r w:rsidR="004D4205">
        <w:rPr>
          <w:rFonts w:ascii="Century Gothic" w:eastAsia="Century Gothic" w:hAnsi="Century Gothic" w:cs="Century Gothic"/>
          <w:sz w:val="22"/>
          <w:szCs w:val="22"/>
          <w:u w:val="single"/>
          <w:vertAlign w:val="superscript"/>
        </w:rPr>
        <w:t>1-2</w:t>
      </w:r>
      <w:r w:rsidR="0084215E">
        <w:rPr>
          <w:rFonts w:ascii="Century Gothic" w:eastAsia="Century Gothic" w:hAnsi="Century Gothic" w:cs="Century Gothic"/>
          <w:sz w:val="22"/>
          <w:szCs w:val="22"/>
          <w:u w:val="single"/>
          <w:vertAlign w:val="superscript"/>
        </w:rPr>
        <w:t>1</w:t>
      </w:r>
      <w:r w:rsidR="004D4205"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 : 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Apixaban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Pr="009E61E7" w:rsidRDefault="009E61E7" w:rsidP="009E61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Canadian product monograph</w:t>
      </w:r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s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of </w:t>
      </w:r>
      <w:proofErr w:type="spellStart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apixaban</w:t>
      </w:r>
      <w:proofErr w:type="spellEnd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</w:t>
      </w:r>
      <w:proofErr w:type="spellStart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Prezista</w:t>
      </w:r>
      <w:proofErr w:type="spellEnd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</w:t>
      </w:r>
      <w:proofErr w:type="spellStart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Stribild</w:t>
      </w:r>
      <w:proofErr w:type="spellEnd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</w:t>
      </w:r>
      <w:proofErr w:type="spellStart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Genvoya</w:t>
      </w:r>
      <w:proofErr w:type="spellEnd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</w:t>
      </w:r>
      <w:proofErr w:type="spellStart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Prezcobix</w:t>
      </w:r>
      <w:proofErr w:type="spellEnd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and </w:t>
      </w:r>
      <w:proofErr w:type="spell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Symtuza</w:t>
      </w:r>
      <w:proofErr w:type="spellEnd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contraindicate this </w:t>
      </w:r>
      <w:proofErr w:type="spell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combiantion</w:t>
      </w:r>
      <w:proofErr w:type="spellEnd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However, </w:t>
      </w:r>
      <w:proofErr w:type="spell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apixaban</w:t>
      </w:r>
      <w:proofErr w:type="spellEnd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br/>
        <w:t>US product</w:t>
      </w:r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monograph </w:t>
      </w:r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sugg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est</w:t>
      </w:r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gram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to</w:t>
      </w:r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decrease</w:t>
      </w:r>
      <w:proofErr w:type="gramEnd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the</w:t>
      </w:r>
      <w:r w:rsidR="004D4205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dose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by</w:t>
      </w:r>
      <w:r w:rsidR="004D4205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50 %, </w:t>
      </w:r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unless the starting dose is 2.5 mg BID</w:t>
      </w:r>
      <w:r w:rsidR="004D4205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</w:t>
      </w:r>
    </w:p>
    <w:p w:rsidR="00E5598D" w:rsidRDefault="009E61E7" w:rsidP="009E61E7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 w:rsidRPr="009E61E7">
        <w:rPr>
          <w:rFonts w:ascii="Century Gothic" w:eastAsia="Century Gothic" w:hAnsi="Century Gothic" w:cs="Century Gothic"/>
          <w:color w:val="000000"/>
          <w:sz w:val="22"/>
          <w:szCs w:val="22"/>
        </w:rPr>
        <w:t>Alternatives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:</w:t>
      </w:r>
    </w:p>
    <w:p w:rsidR="00E5598D" w:rsidRDefault="004D42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Pr="009E61E7" w:rsidRDefault="009E61E7" w:rsidP="009E61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Low molecular weight heparin (LMWH</w:t>
      </w:r>
      <w:proofErr w:type="gramStart"/>
      <w:r w:rsidR="004D4205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) :</w:t>
      </w:r>
      <w:proofErr w:type="gramEnd"/>
      <w:r w:rsidR="004D4205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_______________.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Edoxaban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Pr="00971F4C" w:rsidRDefault="009E61E7" w:rsidP="00971F4C">
      <w:pPr>
        <w:numPr>
          <w:ilvl w:val="0"/>
          <w:numId w:val="6"/>
        </w:numPr>
        <w:jc w:val="both"/>
        <w:rPr>
          <w:sz w:val="22"/>
          <w:szCs w:val="22"/>
          <w:lang w:val="en-CA"/>
        </w:rPr>
      </w:pP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Decrease the dose to 30 mg QD with strong P-</w:t>
      </w:r>
      <w:proofErr w:type="spell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gp</w:t>
      </w:r>
      <w:proofErr w:type="spellEnd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inhibitors according to the Canadian </w:t>
      </w:r>
      <w:r w:rsid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product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monograph. </w:t>
      </w:r>
      <w:r w:rsidR="00971F4C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However, based on findings from the ENGAGE AF-</w:t>
      </w:r>
      <w:r w:rsid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TIMI study, </w:t>
      </w:r>
      <w:proofErr w:type="spellStart"/>
      <w:r w:rsidR="00971F4C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edoxaban</w:t>
      </w:r>
      <w:proofErr w:type="spellEnd"/>
      <w:r w:rsid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US product monograph</w:t>
      </w:r>
      <w:r w:rsidR="00971F4C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, no dose adjustment is recommended when co-administered with P-</w:t>
      </w:r>
      <w:proofErr w:type="spellStart"/>
      <w:r w:rsidR="00971F4C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gp</w:t>
      </w:r>
      <w:proofErr w:type="spellEnd"/>
      <w:r w:rsidR="00971F4C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inhibitors.</w:t>
      </w:r>
    </w:p>
    <w:p w:rsidR="00E5598D" w:rsidRDefault="009E61E7" w:rsidP="009E61E7">
      <w:pPr>
        <w:ind w:firstLine="36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E61E7">
        <w:rPr>
          <w:rFonts w:ascii="Century Gothic" w:eastAsia="Century Gothic" w:hAnsi="Century Gothic" w:cs="Century Gothic"/>
          <w:sz w:val="22"/>
          <w:szCs w:val="22"/>
        </w:rPr>
        <w:t>Alternatives</w:t>
      </w:r>
      <w:r w:rsidR="004D4205"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E5598D" w:rsidRDefault="004D4205">
      <w:pPr>
        <w:numPr>
          <w:ilvl w:val="1"/>
          <w:numId w:val="6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E5598D" w:rsidRDefault="004D4205">
      <w:pPr>
        <w:numPr>
          <w:ilvl w:val="1"/>
          <w:numId w:val="6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E5598D" w:rsidRPr="009E61E7" w:rsidRDefault="009E61E7" w:rsidP="009E61E7">
      <w:pPr>
        <w:numPr>
          <w:ilvl w:val="1"/>
          <w:numId w:val="6"/>
        </w:numPr>
        <w:jc w:val="both"/>
        <w:rPr>
          <w:sz w:val="22"/>
          <w:szCs w:val="22"/>
          <w:lang w:val="en-CA"/>
        </w:rPr>
      </w:pP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Low molecular weight heparin (LMWH</w:t>
      </w:r>
      <w:proofErr w:type="gram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)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:</w:t>
      </w:r>
      <w:proofErr w:type="gramEnd"/>
      <w:r w:rsidR="004D4205"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_______________.</w:t>
      </w: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E5598D" w:rsidRDefault="009E61E7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*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Contraindicated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>*</w:t>
      </w:r>
    </w:p>
    <w:p w:rsidR="009E61E7" w:rsidRPr="009E61E7" w:rsidRDefault="009E61E7" w:rsidP="009E61E7">
      <w:pPr>
        <w:ind w:firstLine="426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E61E7">
        <w:rPr>
          <w:rFonts w:ascii="Century Gothic" w:eastAsia="Century Gothic" w:hAnsi="Century Gothic" w:cs="Century Gothic"/>
          <w:sz w:val="22"/>
          <w:szCs w:val="22"/>
        </w:rPr>
        <w:t>Alternatives :</w:t>
      </w:r>
    </w:p>
    <w:p w:rsidR="00E5598D" w:rsidRDefault="004D42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Default="004D42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Pradaxa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Pr="009E61E7" w:rsidRDefault="009E61E7" w:rsidP="009E61E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Low molecular weight heparin (LMWH</w:t>
      </w:r>
      <w:proofErr w:type="gramStart"/>
      <w:r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)</w:t>
      </w:r>
      <w:r w:rsidR="004D4205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 :</w:t>
      </w:r>
      <w:proofErr w:type="gramEnd"/>
      <w:r w:rsidR="004D4205" w:rsidRPr="009E61E7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_______________.</w:t>
      </w:r>
    </w:p>
    <w:p w:rsidR="00E5598D" w:rsidRPr="009E61E7" w:rsidRDefault="00E5598D">
      <w:pPr>
        <w:jc w:val="both"/>
        <w:rPr>
          <w:rFonts w:ascii="Century Gothic" w:eastAsia="Century Gothic" w:hAnsi="Century Gothic" w:cs="Century Gothic"/>
          <w:b/>
          <w:sz w:val="22"/>
          <w:szCs w:val="22"/>
          <w:lang w:val="en-CA"/>
        </w:rPr>
      </w:pPr>
    </w:p>
    <w:p w:rsidR="001E1C54" w:rsidRDefault="001E1C54" w:rsidP="00B71E66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:rsidR="00B71E66" w:rsidRDefault="00B71E66" w:rsidP="00B71E66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+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ritonavir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</w:t>
      </w:r>
    </w:p>
    <w:p w:rsidR="00B71E66" w:rsidRPr="00971F4C" w:rsidRDefault="00B71E66" w:rsidP="00B71E66">
      <w:pPr>
        <w:numPr>
          <w:ilvl w:val="0"/>
          <w:numId w:val="6"/>
        </w:numPr>
        <w:jc w:val="both"/>
        <w:rPr>
          <w:sz w:val="22"/>
          <w:szCs w:val="22"/>
          <w:lang w:val="en-CA"/>
        </w:rPr>
      </w:pPr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No a priori dosage adjustment is recommended.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The product monograph recommends caution when co-administering certain P-</w:t>
      </w:r>
      <w:proofErr w:type="spellStart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gp</w:t>
      </w:r>
      <w:proofErr w:type="spellEnd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inhibitors, including but not limited to cyclosporine, </w:t>
      </w:r>
      <w:proofErr w:type="spellStart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itraconazole</w:t>
      </w:r>
      <w:proofErr w:type="spellEnd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nelfinavir, </w:t>
      </w:r>
      <w:proofErr w:type="spellStart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posaconazole</w:t>
      </w:r>
      <w:proofErr w:type="spellEnd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ritonavir, </w:t>
      </w:r>
      <w:proofErr w:type="spellStart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saquinavir</w:t>
      </w:r>
      <w:proofErr w:type="spellEnd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tacrolimus and </w:t>
      </w:r>
      <w:proofErr w:type="spellStart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tipranavir</w:t>
      </w:r>
      <w:proofErr w:type="spellEnd"/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as they may increase systemic exposure to dabigatran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especially in patients with mild or moderate renal impairment</w:t>
      </w:r>
      <w:r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B71E66" w:rsidRDefault="00B71E66" w:rsidP="00B71E66">
      <w:pPr>
        <w:ind w:firstLine="36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E61E7">
        <w:rPr>
          <w:rFonts w:ascii="Century Gothic" w:eastAsia="Century Gothic" w:hAnsi="Century Gothic" w:cs="Century Gothic"/>
          <w:sz w:val="22"/>
          <w:szCs w:val="22"/>
        </w:rPr>
        <w:t>Alternatives</w:t>
      </w:r>
      <w:r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B71E66" w:rsidRDefault="00B71E66" w:rsidP="00B71E66">
      <w:pPr>
        <w:numPr>
          <w:ilvl w:val="1"/>
          <w:numId w:val="6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B71E66" w:rsidRPr="00B71E66" w:rsidRDefault="00B71E66" w:rsidP="00B71E66">
      <w:pPr>
        <w:numPr>
          <w:ilvl w:val="1"/>
          <w:numId w:val="6"/>
        </w:numPr>
        <w:jc w:val="both"/>
        <w:rPr>
          <w:sz w:val="22"/>
          <w:szCs w:val="22"/>
          <w:lang w:val="en-CA"/>
        </w:rPr>
      </w:pP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Low molecular weight heparin (LMWH</w:t>
      </w:r>
      <w:proofErr w:type="gram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)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:</w:t>
      </w:r>
      <w:proofErr w:type="gramEnd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_______________.</w:t>
      </w:r>
    </w:p>
    <w:p w:rsidR="00B71E66" w:rsidRPr="009E61E7" w:rsidRDefault="00B71E66" w:rsidP="00B71E66">
      <w:pPr>
        <w:ind w:left="1440"/>
        <w:jc w:val="both"/>
        <w:rPr>
          <w:sz w:val="22"/>
          <w:szCs w:val="22"/>
          <w:lang w:val="en-CA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Dabigatran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 + </w:t>
      </w:r>
      <w:proofErr w:type="spellStart"/>
      <w:r>
        <w:rPr>
          <w:rFonts w:ascii="Century Gothic" w:eastAsia="Century Gothic" w:hAnsi="Century Gothic" w:cs="Century Gothic"/>
          <w:b/>
          <w:sz w:val="22"/>
          <w:szCs w:val="22"/>
        </w:rPr>
        <w:t>cobicistat</w:t>
      </w:r>
      <w:proofErr w:type="spellEnd"/>
    </w:p>
    <w:p w:rsidR="00E5598D" w:rsidRDefault="004D4205">
      <w:pPr>
        <w:jc w:val="center"/>
        <w:rPr>
          <w:rFonts w:ascii="Century Gothic" w:eastAsia="Century Gothic" w:hAnsi="Century Gothic" w:cs="Century Gothic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sz w:val="22"/>
          <w:szCs w:val="22"/>
        </w:rPr>
        <w:t>*</w:t>
      </w:r>
      <w:r w:rsidR="009E61E7" w:rsidRPr="009E61E7">
        <w:t xml:space="preserve"> </w:t>
      </w:r>
      <w:r w:rsidR="009E61E7" w:rsidRPr="009E61E7">
        <w:rPr>
          <w:rFonts w:ascii="Century Gothic" w:eastAsia="Century Gothic" w:hAnsi="Century Gothic" w:cs="Century Gothic"/>
          <w:sz w:val="22"/>
          <w:szCs w:val="22"/>
        </w:rPr>
        <w:t xml:space="preserve">Not </w:t>
      </w:r>
      <w:proofErr w:type="spellStart"/>
      <w:r w:rsidR="009E61E7" w:rsidRPr="009E61E7">
        <w:rPr>
          <w:rFonts w:ascii="Century Gothic" w:eastAsia="Century Gothic" w:hAnsi="Century Gothic" w:cs="Century Gothic"/>
          <w:sz w:val="22"/>
          <w:szCs w:val="22"/>
        </w:rPr>
        <w:t>recommended</w:t>
      </w:r>
      <w:proofErr w:type="spellEnd"/>
      <w:r w:rsidR="009E61E7" w:rsidRPr="009E61E7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sz w:val="22"/>
          <w:szCs w:val="22"/>
        </w:rPr>
        <w:t>*</w:t>
      </w:r>
    </w:p>
    <w:p w:rsidR="00E5598D" w:rsidRDefault="004D420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)</w:t>
      </w:r>
    </w:p>
    <w:p w:rsidR="00E5598D" w:rsidRPr="00971F4C" w:rsidRDefault="00971F4C" w:rsidP="00971F4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If the combination with dabigatran cannot be avoided and the risk of bleeding is low, keep dabigatran and closel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y monitor the efficacy / safety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</w:p>
    <w:p w:rsidR="00B71E66" w:rsidRPr="00971F4C" w:rsidRDefault="00971F4C" w:rsidP="00B71E66">
      <w:pPr>
        <w:numPr>
          <w:ilvl w:val="0"/>
          <w:numId w:val="6"/>
        </w:numPr>
        <w:jc w:val="both"/>
        <w:rPr>
          <w:sz w:val="22"/>
          <w:szCs w:val="22"/>
          <w:lang w:val="en-CA"/>
        </w:rPr>
      </w:pP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Change antiretroviral therapy to therapy without this risk of drug interaction</w:t>
      </w:r>
      <w:r w:rsidR="00B71E66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B71E66" w:rsidRDefault="00B71E66" w:rsidP="00B71E66">
      <w:pPr>
        <w:ind w:firstLine="36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9E61E7">
        <w:rPr>
          <w:rFonts w:ascii="Century Gothic" w:eastAsia="Century Gothic" w:hAnsi="Century Gothic" w:cs="Century Gothic"/>
          <w:sz w:val="22"/>
          <w:szCs w:val="22"/>
        </w:rPr>
        <w:t>Alternatives</w:t>
      </w:r>
      <w:r>
        <w:rPr>
          <w:rFonts w:ascii="Century Gothic" w:eastAsia="Century Gothic" w:hAnsi="Century Gothic" w:cs="Century Gothic"/>
          <w:sz w:val="22"/>
          <w:szCs w:val="22"/>
        </w:rPr>
        <w:t> :</w:t>
      </w:r>
    </w:p>
    <w:p w:rsidR="00B71E66" w:rsidRDefault="00B71E66" w:rsidP="00B71E66">
      <w:pPr>
        <w:numPr>
          <w:ilvl w:val="1"/>
          <w:numId w:val="6"/>
        </w:numPr>
        <w:jc w:val="both"/>
        <w:rPr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Warfarine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Coumadin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)</w:t>
      </w:r>
    </w:p>
    <w:p w:rsidR="00B71E66" w:rsidRPr="00B71E66" w:rsidRDefault="00B71E66" w:rsidP="00B71E66">
      <w:pPr>
        <w:numPr>
          <w:ilvl w:val="1"/>
          <w:numId w:val="6"/>
        </w:numPr>
        <w:jc w:val="both"/>
        <w:rPr>
          <w:sz w:val="22"/>
          <w:szCs w:val="22"/>
          <w:lang w:val="en-CA"/>
        </w:rPr>
      </w:pP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Low molecular weight heparin (LMWH</w:t>
      </w:r>
      <w:proofErr w:type="gramStart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)</w:t>
      </w:r>
      <w:r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:</w:t>
      </w:r>
      <w:proofErr w:type="gramEnd"/>
      <w:r w:rsidRPr="009E61E7">
        <w:rPr>
          <w:rFonts w:ascii="Century Gothic" w:eastAsia="Century Gothic" w:hAnsi="Century Gothic" w:cs="Century Gothic"/>
          <w:sz w:val="22"/>
          <w:szCs w:val="22"/>
          <w:lang w:val="en-CA"/>
        </w:rPr>
        <w:t>_______________.</w:t>
      </w:r>
    </w:p>
    <w:p w:rsidR="00B71E66" w:rsidRPr="00971F4C" w:rsidRDefault="00B71E66" w:rsidP="00B71E6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  <w:lang w:val="en-CA"/>
        </w:rPr>
      </w:pPr>
    </w:p>
    <w:p w:rsidR="00E5598D" w:rsidRPr="00971F4C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Default="00971F4C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  <w:u w:val="single"/>
        </w:rPr>
        <w:t>Follow</w:t>
      </w:r>
      <w:proofErr w:type="spellEnd"/>
      <w:r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up</w:t>
      </w:r>
      <w:r w:rsidR="004D4205">
        <w:rPr>
          <w:rFonts w:ascii="Century Gothic" w:eastAsia="Century Gothic" w:hAnsi="Century Gothic" w:cs="Century Gothic"/>
          <w:sz w:val="22"/>
          <w:szCs w:val="22"/>
          <w:u w:val="single"/>
        </w:rPr>
        <w:t> :</w:t>
      </w:r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:rsidR="00E5598D" w:rsidRPr="00971F4C" w:rsidRDefault="00971F4C" w:rsidP="00971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lang w:val="en-CA"/>
        </w:rPr>
      </w:pP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Monitor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anticoagulants efficacy and adverse effects (bleeding: anemia, </w:t>
      </w:r>
      <w:proofErr w:type="spellStart"/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hema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-</w:t>
      </w: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toma</w:t>
      </w:r>
      <w:proofErr w:type="spellEnd"/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, hematuria, epistaxis, gastrointestinal disorders, diges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tive and urinary haemorrhage)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</w:p>
    <w:p w:rsidR="00E5598D" w:rsidRPr="00971F4C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</w:p>
    <w:p w:rsidR="00E5598D" w:rsidRPr="00971F4C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</w:p>
    <w:p w:rsidR="001E1C54" w:rsidRDefault="001E1C54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</w:p>
    <w:p w:rsidR="001E1C54" w:rsidRDefault="001E1C54">
      <w:pPr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  <w:r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  <w:br w:type="page"/>
      </w:r>
    </w:p>
    <w:p w:rsidR="00E5598D" w:rsidRPr="00154068" w:rsidRDefault="00154068">
      <w:pPr>
        <w:jc w:val="both"/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</w:pPr>
      <w:r w:rsidRPr="00154068">
        <w:rPr>
          <w:rFonts w:ascii="Century Gothic" w:eastAsia="Century Gothic" w:hAnsi="Century Gothic" w:cs="Century Gothic"/>
          <w:sz w:val="22"/>
          <w:szCs w:val="22"/>
          <w:u w:val="single"/>
          <w:lang w:val="en-CA"/>
        </w:rPr>
        <w:t>Suggestion from the pharmacy or new prescription</w:t>
      </w: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E5598D">
        <w:tc>
          <w:tcPr>
            <w:tcW w:w="9396" w:type="dxa"/>
          </w:tcPr>
          <w:p w:rsidR="00E5598D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Date : _____/_____/_____</w:t>
            </w:r>
          </w:p>
          <w:p w:rsidR="00E5598D" w:rsidRDefault="0015406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Patient</w:t>
            </w:r>
            <w:r w:rsidR="004D4205">
              <w:rPr>
                <w:rFonts w:ascii="Century Gothic" w:eastAsia="Century Gothic" w:hAnsi="Century Gothic" w:cs="Century Gothic"/>
                <w:sz w:val="22"/>
                <w:szCs w:val="22"/>
              </w:rPr>
              <w:t> : ________________________          D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OB</w:t>
            </w:r>
            <w:r w:rsidR="004D4205">
              <w:rPr>
                <w:rFonts w:ascii="Century Gothic" w:eastAsia="Century Gothic" w:hAnsi="Century Gothic" w:cs="Century Gothic"/>
                <w:sz w:val="22"/>
                <w:szCs w:val="22"/>
              </w:rPr>
              <w:t> : _____/_____/_____</w:t>
            </w:r>
          </w:p>
          <w:p w:rsidR="00E5598D" w:rsidRDefault="00154068" w:rsidP="0015406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</w:t>
            </w:r>
            <w:r w:rsidR="004D4205">
              <w:rPr>
                <w:rFonts w:ascii="Century Gothic" w:eastAsia="Century Gothic" w:hAnsi="Century Gothic" w:cs="Century Gothic"/>
                <w:sz w:val="22"/>
                <w:szCs w:val="22"/>
              </w:rPr>
              <w:t>l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</w:t>
            </w:r>
            <w:r w:rsidR="004D4205">
              <w:rPr>
                <w:rFonts w:ascii="Century Gothic" w:eastAsia="Century Gothic" w:hAnsi="Century Gothic" w:cs="Century Gothic"/>
                <w:sz w:val="22"/>
                <w:szCs w:val="22"/>
              </w:rPr>
              <w:t>phone</w:t>
            </w:r>
            <w:proofErr w:type="spellEnd"/>
            <w:r w:rsidR="004D4205">
              <w:rPr>
                <w:rFonts w:ascii="Century Gothic" w:eastAsia="Century Gothic" w:hAnsi="Century Gothic" w:cs="Century Gothic"/>
                <w:sz w:val="22"/>
                <w:szCs w:val="22"/>
              </w:rPr>
              <w:t> : _____________________________</w:t>
            </w:r>
          </w:p>
        </w:tc>
      </w:tr>
      <w:tr w:rsidR="00E5598D" w:rsidRPr="00B71E66">
        <w:tc>
          <w:tcPr>
            <w:tcW w:w="9396" w:type="dxa"/>
          </w:tcPr>
          <w:p w:rsidR="00E5598D" w:rsidRPr="000110B8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 xml:space="preserve">Rx : </w:t>
            </w:r>
          </w:p>
          <w:p w:rsidR="00E5598D" w:rsidRPr="000110B8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</w:p>
          <w:p w:rsidR="00E5598D" w:rsidRPr="000110B8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</w:p>
          <w:p w:rsidR="00E5598D" w:rsidRPr="000110B8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</w:p>
          <w:p w:rsidR="00E5598D" w:rsidRPr="000110B8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</w:p>
          <w:p w:rsidR="00E5598D" w:rsidRPr="000110B8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Ren : _____</w:t>
            </w:r>
          </w:p>
          <w:p w:rsidR="00E5598D" w:rsidRPr="000110B8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</w:p>
          <w:p w:rsidR="00E5598D" w:rsidRPr="000110B8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</w:p>
          <w:p w:rsidR="00E5598D" w:rsidRPr="000110B8" w:rsidRDefault="00E5598D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</w:p>
          <w:p w:rsidR="00E5598D" w:rsidRPr="000110B8" w:rsidRDefault="0015406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Doctor</w:t>
            </w:r>
            <w:r w:rsidR="004D4205"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 : __________     Licence : __________    Signature : __________</w:t>
            </w:r>
          </w:p>
          <w:p w:rsidR="00E5598D" w:rsidRPr="000110B8" w:rsidRDefault="004D420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A</w:t>
            </w:r>
            <w:r w:rsidR="00154068"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ddress</w:t>
            </w: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 : ____________________________________________</w:t>
            </w:r>
          </w:p>
          <w:p w:rsidR="00E5598D" w:rsidRPr="000110B8" w:rsidRDefault="00154068" w:rsidP="00154068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Te</w:t>
            </w:r>
            <w:r w:rsidR="004D4205"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l</w:t>
            </w: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e</w:t>
            </w:r>
            <w:r w:rsidR="004D4205"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 xml:space="preserve">phone : ____________________     </w:t>
            </w:r>
            <w:r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Fax</w:t>
            </w:r>
            <w:r w:rsidR="004D4205" w:rsidRPr="000110B8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 xml:space="preserve"> : ________________</w:t>
            </w:r>
          </w:p>
        </w:tc>
      </w:tr>
      <w:tr w:rsidR="00E5598D" w:rsidRPr="00B71E66">
        <w:tc>
          <w:tcPr>
            <w:tcW w:w="9396" w:type="dxa"/>
          </w:tcPr>
          <w:p w:rsidR="00E5598D" w:rsidRPr="00580309" w:rsidRDefault="000110B8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  <w:r w:rsidRPr="00580309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Prescriber certification</w:t>
            </w:r>
            <w:r w:rsidR="004D4205" w:rsidRPr="00580309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 </w:t>
            </w:r>
          </w:p>
          <w:p w:rsidR="00E5598D" w:rsidRPr="00580309" w:rsidRDefault="000110B8">
            <w:pPr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</w:pPr>
            <w:r w:rsidRPr="00580309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>I certify that</w:t>
            </w:r>
            <w:r w:rsidR="004D4205" w:rsidRPr="00580309">
              <w:rPr>
                <w:rFonts w:ascii="Century Gothic" w:eastAsia="Century Gothic" w:hAnsi="Century Gothic" w:cs="Century Gothic"/>
                <w:sz w:val="22"/>
                <w:szCs w:val="22"/>
                <w:lang w:val="en-CA"/>
              </w:rPr>
              <w:t xml:space="preserve"> : </w:t>
            </w:r>
          </w:p>
          <w:p w:rsidR="00E5598D" w:rsidRPr="000110B8" w:rsidRDefault="000110B8" w:rsidP="0001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CA"/>
              </w:rPr>
            </w:pPr>
            <w:r w:rsidRPr="000110B8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lang w:val="en-CA"/>
              </w:rPr>
              <w:t>this prescription is an original prescription</w:t>
            </w:r>
            <w:r w:rsidR="004D4205" w:rsidRPr="000110B8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lang w:val="en-CA"/>
              </w:rPr>
              <w:t xml:space="preserve">, </w:t>
            </w:r>
          </w:p>
          <w:p w:rsidR="00E5598D" w:rsidRPr="000110B8" w:rsidRDefault="000110B8" w:rsidP="0001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CA"/>
              </w:rPr>
            </w:pPr>
            <w:r w:rsidRPr="000110B8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lang w:val="en-CA"/>
              </w:rPr>
              <w:t>the pharmacist identified above is the only recipient</w:t>
            </w:r>
            <w:r w:rsidR="004D4205" w:rsidRPr="000110B8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lang w:val="en-CA"/>
              </w:rPr>
              <w:t xml:space="preserve">, </w:t>
            </w:r>
          </w:p>
          <w:p w:rsidR="00E5598D" w:rsidRPr="000110B8" w:rsidRDefault="000110B8" w:rsidP="000110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CA"/>
              </w:rPr>
            </w:pPr>
            <w:proofErr w:type="gramStart"/>
            <w:r w:rsidRPr="000110B8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lang w:val="en-CA"/>
              </w:rPr>
              <w:t>the</w:t>
            </w:r>
            <w:proofErr w:type="gramEnd"/>
            <w:r w:rsidRPr="000110B8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lang w:val="en-CA"/>
              </w:rPr>
              <w:t xml:space="preserve"> original will not be reused</w:t>
            </w:r>
            <w:r w:rsidR="004D4205" w:rsidRPr="000110B8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  <w:lang w:val="en-CA"/>
              </w:rPr>
              <w:t>.</w:t>
            </w:r>
          </w:p>
        </w:tc>
      </w:tr>
    </w:tbl>
    <w:p w:rsidR="00E5598D" w:rsidRPr="000110B8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Pr="000110B8" w:rsidRDefault="000110B8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0110B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Please send us a copy of this page with </w:t>
      </w:r>
      <w:r w:rsidR="00FB4810" w:rsidRPr="00FB4810">
        <w:rPr>
          <w:rFonts w:ascii="Century Gothic" w:eastAsia="Century Gothic" w:hAnsi="Century Gothic" w:cs="Century Gothic"/>
          <w:sz w:val="22"/>
          <w:szCs w:val="22"/>
          <w:lang w:val="en-CA"/>
        </w:rPr>
        <w:t>your recommendations</w:t>
      </w:r>
      <w:r w:rsidR="004D4205" w:rsidRPr="000110B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</w:p>
    <w:p w:rsidR="00E5598D" w:rsidRPr="000110B8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Pr="000110B8" w:rsidRDefault="000110B8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0110B8">
        <w:rPr>
          <w:rFonts w:ascii="Century Gothic" w:eastAsia="Century Gothic" w:hAnsi="Century Gothic" w:cs="Century Gothic"/>
          <w:sz w:val="22"/>
          <w:szCs w:val="22"/>
          <w:lang w:val="en-CA"/>
        </w:rPr>
        <w:t>If you need further information, please do not hesitate to contact me</w:t>
      </w:r>
      <w:r w:rsidR="004D4205" w:rsidRPr="000110B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</w:p>
    <w:p w:rsidR="00E5598D" w:rsidRPr="000110B8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Default="004D4205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</w:t>
      </w:r>
      <w:r w:rsidR="00FD2E11" w:rsidRPr="00FD2E11">
        <w:rPr>
          <w:rFonts w:ascii="Century Gothic" w:eastAsia="Century Gothic" w:hAnsi="Century Gothic" w:cs="Century Gothic"/>
          <w:sz w:val="22"/>
          <w:szCs w:val="22"/>
        </w:rPr>
        <w:t>ordially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</w:p>
    <w:p w:rsidR="00E5598D" w:rsidRDefault="00E5598D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:rsidR="00E5598D" w:rsidRPr="00154068" w:rsidRDefault="00154068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gramStart"/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Pharmacist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 :</w:t>
      </w:r>
      <w:proofErr w:type="gramEnd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____________________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ab/>
        <w:t>Pharmac</w:t>
      </w:r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y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 : ____________________</w:t>
      </w:r>
    </w:p>
    <w:p w:rsidR="00E5598D" w:rsidRPr="00154068" w:rsidRDefault="00154068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gramStart"/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Te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l</w:t>
      </w:r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phone :</w:t>
      </w:r>
      <w:proofErr w:type="gramEnd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____________________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ab/>
      </w:r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Fax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 : ____________________</w:t>
      </w:r>
    </w:p>
    <w:p w:rsidR="00E5598D" w:rsidRPr="00154068" w:rsidRDefault="00E5598D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</w:p>
    <w:p w:rsidR="00E5598D" w:rsidRPr="00154068" w:rsidRDefault="004D4205">
      <w:pPr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154068">
        <w:rPr>
          <w:lang w:val="en-CA"/>
        </w:rPr>
        <w:br w:type="page"/>
      </w:r>
    </w:p>
    <w:p w:rsidR="00E5598D" w:rsidRPr="00154068" w:rsidRDefault="004D4205">
      <w:pP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gramStart"/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R</w:t>
      </w:r>
      <w:r w:rsidR="00971F4C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f</w:t>
      </w:r>
      <w:r w:rsidR="00971F4C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rences :</w:t>
      </w:r>
      <w:proofErr w:type="gramEnd"/>
      <w:r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</w:p>
    <w:p w:rsidR="00E5598D" w:rsidRDefault="00971F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Product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monograph</w:t>
      </w:r>
      <w:proofErr w:type="spellEnd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 : </w:t>
      </w:r>
      <w:proofErr w:type="spellStart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Apixaban</w:t>
      </w:r>
      <w:proofErr w:type="spellEnd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(</w:t>
      </w:r>
      <w:proofErr w:type="spellStart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Eliquis</w:t>
      </w:r>
      <w:proofErr w:type="spellEnd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), Pfizer, </w:t>
      </w:r>
      <w:proofErr w:type="spellStart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Qu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</w:t>
      </w:r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bec</w:t>
      </w:r>
      <w:proofErr w:type="spellEnd"/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Canada.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O</w:t>
      </w:r>
      <w:r w:rsidR="004D4205">
        <w:rPr>
          <w:rFonts w:ascii="Century Gothic" w:eastAsia="Century Gothic" w:hAnsi="Century Gothic" w:cs="Century Gothic"/>
          <w:sz w:val="22"/>
          <w:szCs w:val="22"/>
        </w:rPr>
        <w:t>ct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23</w:t>
      </w:r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 2018</w:t>
      </w:r>
      <w:r w:rsidR="004D4205"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:rsidR="00E5598D" w:rsidRPr="00B71E66" w:rsidRDefault="00971F4C" w:rsidP="00B71E6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Product </w:t>
      </w:r>
      <w:proofErr w:type="gramStart"/>
      <w:r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monograph</w:t>
      </w:r>
      <w:r w:rsidR="004D4205" w:rsidRPr="00B71E66">
        <w:rPr>
          <w:rFonts w:ascii="Century Gothic" w:eastAsia="Century Gothic" w:hAnsi="Century Gothic" w:cs="Century Gothic"/>
          <w:color w:val="262626"/>
          <w:sz w:val="22"/>
          <w:szCs w:val="22"/>
          <w:lang w:val="en-CA"/>
        </w:rPr>
        <w:t> :</w:t>
      </w:r>
      <w:proofErr w:type="gramEnd"/>
      <w:r w:rsidR="004D4205" w:rsidRPr="00B71E66">
        <w:rPr>
          <w:rFonts w:ascii="Century Gothic" w:eastAsia="Century Gothic" w:hAnsi="Century Gothic" w:cs="Century Gothic"/>
          <w:color w:val="262626"/>
          <w:sz w:val="22"/>
          <w:szCs w:val="22"/>
          <w:lang w:val="en-CA"/>
        </w:rPr>
        <w:t xml:space="preserve"> </w:t>
      </w:r>
      <w:proofErr w:type="spellStart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Elvit</w:t>
      </w:r>
      <w:r w:rsidR="00154068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gravir</w:t>
      </w:r>
      <w:proofErr w:type="spellEnd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</w:t>
      </w:r>
      <w:proofErr w:type="spellStart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cobicistat</w:t>
      </w:r>
      <w:proofErr w:type="spellEnd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</w:t>
      </w:r>
      <w:proofErr w:type="spellStart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emtricitabine</w:t>
      </w:r>
      <w:proofErr w:type="spellEnd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, </w:t>
      </w:r>
      <w:proofErr w:type="spellStart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t</w:t>
      </w:r>
      <w:r w:rsidR="00154068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nofovir</w:t>
      </w:r>
      <w:proofErr w:type="spellEnd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disoproxil</w:t>
      </w:r>
      <w:proofErr w:type="spellEnd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fumarate </w:t>
      </w:r>
      <w:r w:rsidR="004D4205"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(</w:t>
      </w:r>
      <w:proofErr w:type="spellStart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Stribild</w:t>
      </w:r>
      <w:proofErr w:type="spellEnd"/>
      <w:r w:rsidR="004D4205"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) </w:t>
      </w:r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Gilead Sciences, Ontario, Canada</w:t>
      </w:r>
      <w:r w:rsidR="004D4205"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</w:t>
      </w:r>
      <w:r w:rsid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July 26</w:t>
      </w:r>
      <w:proofErr w:type="gramStart"/>
      <w:r w:rsid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,</w:t>
      </w:r>
      <w:r w:rsidR="00B71E66" w:rsidRP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2021</w:t>
      </w:r>
      <w:proofErr w:type="gramEnd"/>
      <w:r w:rsidR="004D4205" w:rsidRPr="00B71E66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E5598D" w:rsidRPr="002615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Frost C, Wang J, Nepal S et al. Effect of ketoconazole and diltiazem on the pharmacokinetics of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apixaban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, an oral direct factor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Xa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inhibitor. </w:t>
      </w:r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 xml:space="preserve">J </w:t>
      </w:r>
      <w:proofErr w:type="spellStart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>Clin</w:t>
      </w:r>
      <w:proofErr w:type="spellEnd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 xml:space="preserve"> </w:t>
      </w:r>
      <w:proofErr w:type="spellStart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>Pharmacol</w:t>
      </w:r>
      <w:proofErr w:type="spellEnd"/>
      <w:r w:rsidRPr="0026158D">
        <w:rPr>
          <w:rFonts w:ascii="Century Gothic" w:eastAsia="Century Gothic" w:hAnsi="Century Gothic" w:cs="Century Gothic"/>
          <w:i/>
          <w:color w:val="000000"/>
          <w:sz w:val="22"/>
          <w:szCs w:val="22"/>
          <w:lang w:val="en-CA"/>
        </w:rPr>
        <w:t>.</w:t>
      </w: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2009; 49:1091–1130. </w:t>
      </w:r>
    </w:p>
    <w:p w:rsidR="00E559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Egan G, Hughes CA, Ackman ML. Drug interactions between antiplatelet or novel anticoagulant medications and antiretroviral medications. Ann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Pharmacother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2014.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June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; 48 (6): 734-40. </w:t>
      </w:r>
    </w:p>
    <w:p w:rsidR="00E5598D" w:rsidRPr="002615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Apixaban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(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Eliquis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) Prescribing Information, Bristol-Myers Squibb - Pfizer, New Jersey - New York, USA, July 2016.</w:t>
      </w:r>
    </w:p>
    <w:p w:rsidR="00E5598D" w:rsidRDefault="004D42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Bleeding with dabigatran, rivaroxaban,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apixaban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No </w:t>
      </w:r>
      <w:proofErr w:type="gram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antidote,</w:t>
      </w:r>
      <w:proofErr w:type="gram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and little clinical experience. </w:t>
      </w:r>
      <w:r>
        <w:rPr>
          <w:rFonts w:ascii="Century Gothic" w:eastAsia="Century Gothic" w:hAnsi="Century Gothic" w:cs="Century Gothic"/>
          <w:sz w:val="22"/>
          <w:szCs w:val="22"/>
        </w:rPr>
        <w:t>Prescrire Int. 2013 Jun; 22 (139): 155-9.</w:t>
      </w:r>
    </w:p>
    <w:p w:rsidR="00E5598D" w:rsidRDefault="004D42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Monographie :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Rivaroxaban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Xarelto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), Bayer, Ontario, Canada, </w:t>
      </w:r>
      <w:r w:rsidR="00154068">
        <w:rPr>
          <w:rFonts w:ascii="Century Gothic" w:eastAsia="Century Gothic" w:hAnsi="Century Gothic" w:cs="Century Gothic"/>
          <w:sz w:val="22"/>
          <w:szCs w:val="22"/>
        </w:rPr>
        <w:t>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ept </w:t>
      </w:r>
      <w:r w:rsidR="00154068">
        <w:rPr>
          <w:rFonts w:ascii="Century Gothic" w:eastAsia="Century Gothic" w:hAnsi="Century Gothic" w:cs="Century Gothic"/>
          <w:sz w:val="22"/>
          <w:szCs w:val="22"/>
        </w:rPr>
        <w:t xml:space="preserve">13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2018. </w:t>
      </w:r>
    </w:p>
    <w:p w:rsidR="00E559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Mueck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W,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Kubitza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D,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Becka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M. Co-administration of rivaroxaban with drugs that share its elimination pathways: pharmacokinetic effects in healthy subjects.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Br J Clin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Pharmacol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2013 Sep; 76 (3): 455-66. </w:t>
      </w:r>
    </w:p>
    <w:p w:rsidR="00E5598D" w:rsidRDefault="004D4205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Lakatos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B,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Stoeckle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M,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Elzi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L, et al. Gastrointestinal bleeding associated with rivaroxaban administration in a treated patient infected with human immunodeficiency virus.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Swiss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medical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weekly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2014; 144: w13906.</w:t>
      </w:r>
    </w:p>
    <w:p w:rsidR="00E5598D" w:rsidRPr="00971F4C" w:rsidRDefault="00971F4C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Product </w:t>
      </w:r>
      <w:proofErr w:type="gramStart"/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monograph</w:t>
      </w:r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:</w:t>
      </w:r>
      <w:proofErr w:type="gramEnd"/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Dabigatran (</w:t>
      </w:r>
      <w:proofErr w:type="spellStart"/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Pradaxa</w:t>
      </w:r>
      <w:proofErr w:type="spellEnd"/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), </w:t>
      </w:r>
      <w:proofErr w:type="spellStart"/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Boehringer</w:t>
      </w:r>
      <w:proofErr w:type="spellEnd"/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Ingelheim</w:t>
      </w:r>
      <w:proofErr w:type="spellEnd"/>
      <w:r w:rsidR="004D4205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Canada Ltd., Ontario, Canada, </w:t>
      </w:r>
      <w:r w:rsidR="00B71E66">
        <w:rPr>
          <w:rFonts w:ascii="Century Gothic" w:eastAsia="Century Gothic" w:hAnsi="Century Gothic" w:cs="Century Gothic"/>
          <w:sz w:val="22"/>
          <w:szCs w:val="22"/>
          <w:lang w:val="en-CA"/>
        </w:rPr>
        <w:t>March 23, 2020</w:t>
      </w:r>
      <w:r w:rsidR="003A0C80"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E559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Horn J,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Hansten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P. Dabigatran: a new oral anticoagulant.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Pharm</w:t>
      </w:r>
      <w:proofErr w:type="spellEnd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times. 2010; 10: 59.</w:t>
      </w:r>
    </w:p>
    <w:p w:rsidR="00E5598D" w:rsidRPr="0026158D" w:rsidRDefault="004D42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Hartter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S,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Sennewald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R, et al. Oral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bioavailibility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of dabigatran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etexilate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(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Pradaxa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) after co-medication with verapamil in healthy subjects. Br J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Clin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Pharmacol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. 2013 Apr; 75 (4): 1053-62. </w:t>
      </w:r>
    </w:p>
    <w:p w:rsidR="00E5598D" w:rsidRPr="002615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Barco S, Coppens M, van den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Dool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EJ, et al. Successful co-administration of dabigatran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etexilate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and protease inhibitors ritonavir/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lopinavir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 a patient with atrial fibrillation.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Thromb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proofErr w:type="spellStart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Haemost</w:t>
      </w:r>
      <w:proofErr w:type="spellEnd"/>
      <w:r w:rsidRPr="0026158D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2014 Oct;112(4):836-8</w:t>
      </w:r>
    </w:p>
    <w:p w:rsidR="00E559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</w:rPr>
      </w:pPr>
      <w:bookmarkStart w:id="1" w:name="_jdqye1bh1asf" w:colFirst="0" w:colLast="0"/>
      <w:bookmarkEnd w:id="1"/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Perram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J, Joseph J, Holloway C. Novel oral anticoagulants and HIV: dabigatran use with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antiretrovirals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.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BMJ Case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Rep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. 2015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Nov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20.</w:t>
      </w:r>
    </w:p>
    <w:p w:rsidR="00E5598D" w:rsidRPr="002615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bookmarkStart w:id="2" w:name="_n3opyxtl2fo1" w:colFirst="0" w:colLast="0"/>
      <w:bookmarkEnd w:id="2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Kumar P, Gordon LA, Brooks KM, George JM, Kellogg A et al. Differential influence of the antiretroviral pharmacokinetic enhancers ritonavir and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cobicistat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on intestinal P-glycoprotein transport and the pharmacokinetic/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pharmacodynamic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disposition of dabigatran.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Antimicrob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Agents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Chemother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. 2017 Oct 24; 61(11).</w:t>
      </w:r>
    </w:p>
    <w:p w:rsidR="00E5598D" w:rsidRPr="0026158D" w:rsidRDefault="004D420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bookmarkStart w:id="3" w:name="_ui1mhrav892" w:colFirst="0" w:colLast="0"/>
      <w:bookmarkEnd w:id="3"/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Kakadiva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PP, Higginson RT and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Fulco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PP. Ritonavir-Boosted Protease Inhibitors but Not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Cobicistat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Appear Safe in HIV-Positive Patients Ingesting Dabigatran.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Antimicrob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agents </w:t>
      </w:r>
      <w:proofErr w:type="spellStart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>Chemother</w:t>
      </w:r>
      <w:proofErr w:type="spellEnd"/>
      <w:r w:rsidRPr="0026158D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2018 Jan 25; 62(2).</w:t>
      </w:r>
    </w:p>
    <w:p w:rsidR="00E5598D" w:rsidRPr="00154068" w:rsidRDefault="00971F4C" w:rsidP="0026158D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bookmarkStart w:id="4" w:name="_4nnidxc3uttw" w:colFirst="0" w:colLast="0"/>
      <w:bookmarkEnd w:id="4"/>
      <w:r w:rsidRPr="00154068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Product </w:t>
      </w:r>
      <w:proofErr w:type="gramStart"/>
      <w:r w:rsidRPr="00154068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monograph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:</w:t>
      </w:r>
      <w:proofErr w:type="gramEnd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</w:t>
      </w:r>
      <w:proofErr w:type="spellStart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Edoxaban</w:t>
      </w:r>
      <w:proofErr w:type="spellEnd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(</w:t>
      </w:r>
      <w:proofErr w:type="spellStart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Lixiana</w:t>
      </w:r>
      <w:proofErr w:type="spellEnd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), </w:t>
      </w:r>
      <w:proofErr w:type="spellStart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Servier</w:t>
      </w:r>
      <w:proofErr w:type="spellEnd"/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, Qu</w:t>
      </w:r>
      <w:r w:rsidR="00154068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e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bec, Canada, </w:t>
      </w:r>
      <w:r w:rsidR="00154068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February 12</w:t>
      </w:r>
      <w:r w:rsidR="0026158D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2020</w:t>
      </w:r>
      <w:r w:rsidR="004D4205" w:rsidRPr="00154068">
        <w:rPr>
          <w:rFonts w:ascii="Century Gothic" w:eastAsia="Century Gothic" w:hAnsi="Century Gothic" w:cs="Century Gothic"/>
          <w:sz w:val="22"/>
          <w:szCs w:val="22"/>
          <w:lang w:val="en-CA"/>
        </w:rPr>
        <w:t>.</w:t>
      </w:r>
    </w:p>
    <w:p w:rsidR="0026158D" w:rsidRPr="00971F4C" w:rsidRDefault="0026158D" w:rsidP="0026158D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proofErr w:type="spellStart"/>
      <w:r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Edoxaban</w:t>
      </w:r>
      <w:proofErr w:type="spellEnd"/>
      <w:r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 xml:space="preserve"> (</w:t>
      </w:r>
      <w:proofErr w:type="spellStart"/>
      <w:r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Savaysa</w:t>
      </w:r>
      <w:proofErr w:type="spellEnd"/>
      <w:r w:rsidRPr="00971F4C">
        <w:rPr>
          <w:rFonts w:ascii="Century Gothic" w:eastAsia="Century Gothic" w:hAnsi="Century Gothic" w:cs="Century Gothic"/>
          <w:sz w:val="22"/>
          <w:szCs w:val="22"/>
          <w:lang w:val="en-CA"/>
        </w:rPr>
        <w:t>), Prescribing Information, Daiichi Sankyo Inc. NJ USA, April 2020.</w:t>
      </w:r>
    </w:p>
    <w:p w:rsidR="00E5598D" w:rsidRDefault="00971F4C">
      <w:pPr>
        <w:numPr>
          <w:ilvl w:val="0"/>
          <w:numId w:val="10"/>
        </w:num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Product </w:t>
      </w:r>
      <w:proofErr w:type="spellStart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monograph</w:t>
      </w:r>
      <w:proofErr w:type="spellEnd"/>
      <w:r w:rsidR="004D4205">
        <w:rPr>
          <w:rFonts w:ascii="Century Gothic" w:eastAsia="Century Gothic" w:hAnsi="Century Gothic" w:cs="Century Gothic"/>
          <w:color w:val="262626"/>
          <w:sz w:val="22"/>
          <w:szCs w:val="22"/>
        </w:rPr>
        <w:t xml:space="preserve"> : 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Elvit</w:t>
      </w:r>
      <w:r>
        <w:rPr>
          <w:rFonts w:ascii="Century Gothic" w:eastAsia="Century Gothic" w:hAnsi="Century Gothic" w:cs="Century Gothic"/>
          <w:sz w:val="22"/>
          <w:szCs w:val="22"/>
        </w:rPr>
        <w:t>e</w:t>
      </w:r>
      <w:r w:rsidR="004D4205">
        <w:rPr>
          <w:rFonts w:ascii="Century Gothic" w:eastAsia="Century Gothic" w:hAnsi="Century Gothic" w:cs="Century Gothic"/>
          <w:sz w:val="22"/>
          <w:szCs w:val="22"/>
        </w:rPr>
        <w:t>gravir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cobicistat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emtricitabine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t</w:t>
      </w:r>
      <w:r>
        <w:rPr>
          <w:rFonts w:ascii="Century Gothic" w:eastAsia="Century Gothic" w:hAnsi="Century Gothic" w:cs="Century Gothic"/>
          <w:sz w:val="22"/>
          <w:szCs w:val="22"/>
        </w:rPr>
        <w:t>e</w:t>
      </w:r>
      <w:r w:rsidR="004D4205">
        <w:rPr>
          <w:rFonts w:ascii="Century Gothic" w:eastAsia="Century Gothic" w:hAnsi="Century Gothic" w:cs="Century Gothic"/>
          <w:sz w:val="22"/>
          <w:szCs w:val="22"/>
        </w:rPr>
        <w:t>nofovir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alaf</w:t>
      </w:r>
      <w:r>
        <w:rPr>
          <w:rFonts w:ascii="Century Gothic" w:eastAsia="Century Gothic" w:hAnsi="Century Gothic" w:cs="Century Gothic"/>
          <w:sz w:val="22"/>
          <w:szCs w:val="22"/>
        </w:rPr>
        <w:t>e-</w:t>
      </w:r>
      <w:r w:rsidR="004D4205">
        <w:rPr>
          <w:rFonts w:ascii="Century Gothic" w:eastAsia="Century Gothic" w:hAnsi="Century Gothic" w:cs="Century Gothic"/>
          <w:sz w:val="22"/>
          <w:szCs w:val="22"/>
        </w:rPr>
        <w:t>namide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 (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Genvoya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) </w:t>
      </w:r>
      <w:proofErr w:type="spellStart"/>
      <w:r w:rsidR="004D4205">
        <w:rPr>
          <w:rFonts w:ascii="Century Gothic" w:eastAsia="Century Gothic" w:hAnsi="Century Gothic" w:cs="Century Gothic"/>
          <w:sz w:val="22"/>
          <w:szCs w:val="22"/>
        </w:rPr>
        <w:t>Gilead</w:t>
      </w:r>
      <w:proofErr w:type="spellEnd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 Sciences, Ontario, Canada. </w:t>
      </w:r>
      <w:r w:rsidR="00B71E66">
        <w:rPr>
          <w:rFonts w:ascii="Century Gothic" w:eastAsia="Century Gothic" w:hAnsi="Century Gothic" w:cs="Century Gothic"/>
          <w:sz w:val="22"/>
          <w:szCs w:val="22"/>
        </w:rPr>
        <w:t>August 6, 2021</w:t>
      </w:r>
      <w:r w:rsidR="004D4205">
        <w:rPr>
          <w:rFonts w:ascii="Century Gothic" w:eastAsia="Century Gothic" w:hAnsi="Century Gothic" w:cs="Century Gothic"/>
          <w:sz w:val="22"/>
          <w:szCs w:val="22"/>
        </w:rPr>
        <w:t>.</w:t>
      </w:r>
    </w:p>
    <w:p w:rsidR="00E5598D" w:rsidRPr="00971F4C" w:rsidRDefault="00971F4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jc w:val="both"/>
        <w:rPr>
          <w:rFonts w:ascii="Century Gothic" w:eastAsia="Century Gothic" w:hAnsi="Century Gothic" w:cs="Century Gothic"/>
          <w:sz w:val="22"/>
          <w:szCs w:val="22"/>
          <w:lang w:val="en-CA"/>
        </w:rPr>
      </w:pPr>
      <w:bookmarkStart w:id="5" w:name="_mskpvifi9um4" w:colFirst="0" w:colLast="0"/>
      <w:bookmarkEnd w:id="5"/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Product monographs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of protease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inhibit</w:t>
      </w: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o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rs consult</w:t>
      </w:r>
      <w:r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ed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in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 xml:space="preserve"> 20</w:t>
      </w:r>
      <w:r w:rsidR="00B71E66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22</w:t>
      </w:r>
      <w:r w:rsidR="004D4205" w:rsidRPr="00971F4C">
        <w:rPr>
          <w:rFonts w:ascii="Century Gothic" w:eastAsia="Century Gothic" w:hAnsi="Century Gothic" w:cs="Century Gothic"/>
          <w:color w:val="000000"/>
          <w:sz w:val="22"/>
          <w:szCs w:val="22"/>
          <w:lang w:val="en-CA"/>
        </w:rPr>
        <w:t>.</w:t>
      </w:r>
    </w:p>
    <w:p w:rsidR="00E5598D" w:rsidRPr="00154068" w:rsidRDefault="00154068" w:rsidP="0015406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ind w:left="714" w:hanging="357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HIV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Medication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Guide</w:t>
      </w:r>
      <w:r w:rsidR="004D4205">
        <w:rPr>
          <w:rFonts w:ascii="Century Gothic" w:eastAsia="Century Gothic" w:hAnsi="Century Gothic" w:cs="Century Gothic"/>
          <w:sz w:val="22"/>
          <w:szCs w:val="22"/>
        </w:rPr>
        <w:t>. [</w:t>
      </w:r>
      <w:r>
        <w:rPr>
          <w:rFonts w:ascii="Century Gothic" w:eastAsia="Century Gothic" w:hAnsi="Century Gothic" w:cs="Century Gothic"/>
          <w:sz w:val="22"/>
          <w:szCs w:val="22"/>
        </w:rPr>
        <w:t>Online</w:t>
      </w:r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]. Disponible </w:t>
      </w:r>
      <w:proofErr w:type="gramStart"/>
      <w:r w:rsidR="004D4205">
        <w:rPr>
          <w:rFonts w:ascii="Century Gothic" w:eastAsia="Century Gothic" w:hAnsi="Century Gothic" w:cs="Century Gothic"/>
          <w:sz w:val="22"/>
          <w:szCs w:val="22"/>
        </w:rPr>
        <w:t xml:space="preserve">: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gramEnd"/>
      <w:hyperlink r:id="rId8" w:history="1">
        <w:r w:rsidRPr="007E275B">
          <w:rPr>
            <w:rStyle w:val="Lienhypertexte"/>
            <w:rFonts w:ascii="Century Gothic" w:eastAsia="Century Gothic" w:hAnsi="Century Gothic" w:cs="Century Gothic"/>
            <w:sz w:val="22"/>
            <w:szCs w:val="22"/>
          </w:rPr>
          <w:t>www.hivmedicationguide.com</w:t>
        </w:r>
      </w:hyperlink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sectPr w:rsidR="00E5598D" w:rsidRPr="00154068">
      <w:footerReference w:type="default" r:id="rId9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09" w:rsidRDefault="00716209">
      <w:r>
        <w:separator/>
      </w:r>
    </w:p>
  </w:endnote>
  <w:endnote w:type="continuationSeparator" w:id="0">
    <w:p w:rsidR="00716209" w:rsidRDefault="0071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98D" w:rsidRDefault="00971F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hyperlink r:id="rId1" w:history="1">
      <w:r w:rsidRPr="006B47ED">
        <w:rPr>
          <w:rStyle w:val="Lienhypertexte"/>
          <w:lang w:val="en-CA"/>
        </w:rPr>
        <w:t>www.hivmedicationguide.com</w:t>
      </w:r>
    </w:hyperlink>
    <w:r w:rsidR="004D4205">
      <w:t xml:space="preserve">                                                                            </w:t>
    </w:r>
    <w:r w:rsidR="001E1C54">
      <w:t>March</w:t>
    </w:r>
    <w:r w:rsidR="0026158D">
      <w:t xml:space="preserve"> 202</w:t>
    </w:r>
    <w:r w:rsidR="001E1C54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09" w:rsidRDefault="00716209">
      <w:r>
        <w:separator/>
      </w:r>
    </w:p>
  </w:footnote>
  <w:footnote w:type="continuationSeparator" w:id="0">
    <w:p w:rsidR="00716209" w:rsidRDefault="0071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30D"/>
    <w:multiLevelType w:val="multilevel"/>
    <w:tmpl w:val="FD289DFC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18F287E"/>
    <w:multiLevelType w:val="multilevel"/>
    <w:tmpl w:val="2C88D010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D24971"/>
    <w:multiLevelType w:val="multilevel"/>
    <w:tmpl w:val="549A0D5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634030"/>
    <w:multiLevelType w:val="multilevel"/>
    <w:tmpl w:val="66F4FC6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4E3C62"/>
    <w:multiLevelType w:val="multilevel"/>
    <w:tmpl w:val="82C2E922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A626CB"/>
    <w:multiLevelType w:val="multilevel"/>
    <w:tmpl w:val="CF4E5BD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F569C"/>
    <w:multiLevelType w:val="multilevel"/>
    <w:tmpl w:val="C7B04D7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◻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2B26C1E"/>
    <w:multiLevelType w:val="multilevel"/>
    <w:tmpl w:val="03E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DFE4721"/>
    <w:multiLevelType w:val="multilevel"/>
    <w:tmpl w:val="1DA2211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F8F6354"/>
    <w:multiLevelType w:val="multilevel"/>
    <w:tmpl w:val="D31C87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598D"/>
    <w:rsid w:val="000110B8"/>
    <w:rsid w:val="001326BD"/>
    <w:rsid w:val="0014303F"/>
    <w:rsid w:val="00154068"/>
    <w:rsid w:val="001E1C54"/>
    <w:rsid w:val="0026158D"/>
    <w:rsid w:val="002E23ED"/>
    <w:rsid w:val="003A0C80"/>
    <w:rsid w:val="003E1702"/>
    <w:rsid w:val="00414363"/>
    <w:rsid w:val="004D4205"/>
    <w:rsid w:val="00580309"/>
    <w:rsid w:val="005C2E15"/>
    <w:rsid w:val="00662109"/>
    <w:rsid w:val="00716209"/>
    <w:rsid w:val="007D0B99"/>
    <w:rsid w:val="0082481D"/>
    <w:rsid w:val="0084215E"/>
    <w:rsid w:val="00865AC6"/>
    <w:rsid w:val="008E5BC7"/>
    <w:rsid w:val="00971F4C"/>
    <w:rsid w:val="009E61E7"/>
    <w:rsid w:val="00B71E66"/>
    <w:rsid w:val="00B73BD3"/>
    <w:rsid w:val="00D324D3"/>
    <w:rsid w:val="00D529AE"/>
    <w:rsid w:val="00E5598D"/>
    <w:rsid w:val="00EC2C73"/>
    <w:rsid w:val="00FB4810"/>
    <w:rsid w:val="00F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158D"/>
  </w:style>
  <w:style w:type="paragraph" w:styleId="Pieddepage">
    <w:name w:val="footer"/>
    <w:basedOn w:val="Normal"/>
    <w:link w:val="Pieddepag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58D"/>
  </w:style>
  <w:style w:type="paragraph" w:styleId="Paragraphedeliste">
    <w:name w:val="List Paragraph"/>
    <w:basedOn w:val="Normal"/>
    <w:uiPriority w:val="34"/>
    <w:qFormat/>
    <w:rsid w:val="009E61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1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158D"/>
  </w:style>
  <w:style w:type="paragraph" w:styleId="Pieddepage">
    <w:name w:val="footer"/>
    <w:basedOn w:val="Normal"/>
    <w:link w:val="PieddepageCar"/>
    <w:uiPriority w:val="99"/>
    <w:unhideWhenUsed/>
    <w:rsid w:val="0026158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58D"/>
  </w:style>
  <w:style w:type="paragraph" w:styleId="Paragraphedeliste">
    <w:name w:val="List Paragraph"/>
    <w:basedOn w:val="Normal"/>
    <w:uiPriority w:val="34"/>
    <w:qFormat/>
    <w:rsid w:val="009E61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1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vmedicationguid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vmedicationgu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Pichette</dc:creator>
  <cp:lastModifiedBy>Claude</cp:lastModifiedBy>
  <cp:revision>3</cp:revision>
  <dcterms:created xsi:type="dcterms:W3CDTF">2022-02-09T08:38:00Z</dcterms:created>
  <dcterms:modified xsi:type="dcterms:W3CDTF">2022-02-09T08:39:00Z</dcterms:modified>
</cp:coreProperties>
</file>