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nteraction entre la trazodone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Trazodone (Desyrel)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de la trazodone peut survenir lors de l’administration concomitante avec un antirétroviral nommé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1-4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des cytochromes (CYP) 3A4 et 2D6.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métabolisme de la trazodone implique ces cytochromes.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augmenter la concentration plasmatique de la trazodone et le risque d’effets indésirables.</w:t>
      </w:r>
    </w:p>
    <w:p w:rsidR="00000000" w:rsidDel="00000000" w:rsidP="00000000" w:rsidRDefault="00000000" w:rsidRPr="00000000" w14:paraId="0000001A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 voici des études évaluant leur potentiel d’interaction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Trazodone +  ritonavir : ↑ de presque 2,5 fois la surface sous la courbe (SSC) de la trazodone avec risque d’effets indésirables associés (sudation, fatigue, nausées, étourdissements, hypotension orthostatique, syncope)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1, 3, 4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4b4b4b"/>
          <w:sz w:val="22"/>
          <w:szCs w:val="22"/>
          <w:u w:val="none"/>
          <w:shd w:fill="auto" w:val="clear"/>
          <w:vertAlign w:val="baseline"/>
          <w:rtl w:val="0"/>
        </w:rPr>
        <w:t xml:space="preserve">Si la trazodone est ajoutée à une thérapie antirétrovirale déjà existante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Débuter la trazodone avec une petite dose puis augmenter graduellement la dose selon efficacité et tolérance.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4b4b4b"/>
          <w:sz w:val="22"/>
          <w:szCs w:val="22"/>
          <w:u w:val="none"/>
          <w:shd w:fill="auto" w:val="clear"/>
          <w:vertAlign w:val="baseline"/>
          <w:rtl w:val="0"/>
        </w:rPr>
        <w:t xml:space="preserve">Si le patient est déjà sous trazodone et que la thérapie antirétrovirale est débutée.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Diminuer la dose actuelle de trazodone de 50 % puis augmenter graduellement la dose selon efficacité et tolérance.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Patients actuellement sous traitement avec cette association et la tolérant.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Conserver cette combinaison et exercer un suivi des effets indésirables.</w:t>
      </w:r>
    </w:p>
    <w:p w:rsidR="00000000" w:rsidDel="00000000" w:rsidP="00000000" w:rsidRDefault="00000000" w:rsidRPr="00000000" w14:paraId="00000025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les effets indésirables (étourdissements, fatigue, sudation, hypotension orthostatique, syncope, priapisme, effets anticholinergiques : bouche sèche, rétention urinaire, vision brouillée)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 : ________________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Greenblatt DJ, von Moltke LL, Harmatz JS, et al. Short-term exposure to low-dose ritonavir impairs clearance and enhances adverse effects of trazodone. J Clin Pharmacol 2003;43(4):414-422.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Zalma A, von Moltke LL, Granda BW, et al. In vitro metabolism of trazodone by CYP 3A: Inhibition by ketoconazole and human immunodeficiency viral protease inhibitors. Biol Psychiatry 2000;47:655-661.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Ritonavir (Norvir), Corporation AbbVie, Québec, Canada, 27 novembre 2017.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220"/>
          <w:tab w:val="left" w:pos="720"/>
        </w:tabs>
        <w:ind w:left="720"/>
        <w:contextualSpacing w:val="0"/>
        <w:jc w:val="both"/>
        <w:rPr>
          <w:rFonts w:ascii="Century Gothic" w:cs="Century Gothic" w:eastAsia="Century Gothic" w:hAnsi="Century Gothic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Fonts w:ascii="inherit" w:cs="inherit" w:eastAsia="inherit" w:hAnsi="inherit"/>
          <w:sz w:val="14"/>
          <w:szCs w:val="14"/>
          <w:rtl w:val="0"/>
        </w:rPr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428bca"/>
            <w:sz w:val="21"/>
            <w:szCs w:val="21"/>
            <w:highlight w:val="whit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</w:t>
      <w:tab/>
      <w:tab/>
      <w:t xml:space="preserve">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cbi.nlm.nih.gov/pubmed/24990596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