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Opinion pharmaceutique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Interaction entre les corticostéroïdes inhalations et les antirétroviraux combinés au ritonavir, cobicistat ou atazanavir seul.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Patient(e) : _________________________</w:t>
        <w:tab/>
        <w:tab/>
        <w:tab/>
        <w:t xml:space="preserve">DDN : _____/_____/_____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# Téléphone : ______________________________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Après avoir analysé le dossier de votre patient(e), j’ai relevé un problème relié à sa pharmacothérapie. 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Interaction entre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Budésonide (Pulmicort, Symbicort, Rhinocort)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Fluticasone (Flovent, Advair, Flonase, Avamys)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Mométasone (Asmanex, Zenhale, Nasonex)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Et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Atazanavir/Cobicistat (Evotaz)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Darunavir/Cobicistat (Prezcobix)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Élvitégravir/Cobicistat/Emtricitabine/Ténofovir (Stribild, Genvoya)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Atazanavir/Ritonavir (Reyataz/Norvir)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Darunavir/Ritonavir (Prezista/Norvir)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Lopinavir/Ritonavir (Kaletra)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Atazanavir (Reyataz)</w:t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Une augmentation du risque de toxicité des corticostéroïdes peut survenir lors de l’administration concomitante avec un antirétroviral ci-haut. Voici pourquoi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1-27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 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cobicistat, le ritonavir et les inhibiteurs de la protéase (IP) sont des inhibiteurs du cytochrome (CYP) 3A4.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corticostéroïdes ci-haut sont des substrats de ce CYP.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Cette inhibition peut accroître leurs concentrations plasmatiques et leur risque de toxicité</w:t>
      </w:r>
    </w:p>
    <w:p w:rsidR="00000000" w:rsidDel="00000000" w:rsidP="00000000" w:rsidRDefault="00000000" w:rsidRPr="00000000" w14:paraId="0000001B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Pour de plus amples informations, voici des études évaluant les interactions ci-haut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1-27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 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Fluticasone + ritonavir 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2, 3, 7, 8, 9, 12, 13, 14,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27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↑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350 fois la SSC du fluticasone et  diminution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de 86% de la SSC du cortisol plasmatique.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Cette interaction a fait l’objet d’une alerte de Santé Canada en 2004 et la monographie du ritonavir précise que son association avec le fluticasone constitue un risque d’effets secondaires sérieux.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L’accumulation du corticostéroïde peut engendrer un syndrome de cushing et potentiellement une suppression de l’axe hypothalamo-hypophysaire qui pourrait mener à une insuffisance surrénalienne. Plusieurs cas  ont été rapportés dans la littérature.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Mométasone + ritonavir ou cobicistat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éviter en raison du risque d’interaction suspectée similaire au fluticasone.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Budésonide + ritonavir 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1, 2, 3, 4, 5, 6, 2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7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Tout comme le fluticasone, mais de façon moins marquée, sa concentration plasmatique peut s’accumuler en présence d’un puissant inhibiteur du CYP3A4.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effet, quelques cas de syndromes de Cushing et d’insuffisance surrénalienne ont été rapportés dans la littérature avec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budésonide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ritonavir.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Ciclésonide + kétoconazole 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10, 11,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27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↑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SSC du métabolite actif du ciclésonide de 3,5 fois. Ce qui est nettement inférieur à ce qui a été observé avec le fluticazone.  Cette augmentation est jugée cliniquement non significative.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Béclométhasone + ritonavir 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7, 8,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27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 corticostéroïde est métabolisé autrement que par le CYP3A4.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Une étude transversale suggère la prévalence moins importante d’insuffisance surrénalienne comparativement aux autres corticostéroïdes.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 études pharmacocinétiques avec ritonavir seul ou darunavir/ritonavir ont démontré qu’il n’y avait pas d’interaction significative.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béclométhasone est le corticostéroïde en inhalation suggéré comme solution de rechange avec les inhibiteurs du CYP3A4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rtl w:val="0"/>
        </w:rPr>
        <w:t xml:space="preserve">Options thérapeutiques possibles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vertAlign w:val="superscript"/>
          <w:rtl w:val="0"/>
        </w:rPr>
        <w:t xml:space="preserve">1-27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rtl w:val="0"/>
        </w:rPr>
        <w:t xml:space="preserve"> :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Fluticasone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firstLine="696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*Contre-indication*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Solution de rechange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Béclométhasone </w:t>
      </w:r>
    </w:p>
    <w:p w:rsidR="00000000" w:rsidDel="00000000" w:rsidP="00000000" w:rsidRDefault="00000000" w:rsidRPr="00000000" w14:paraId="00000035">
      <w:pPr>
        <w:ind w:left="372" w:firstLine="708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Fluticasone 125 μg = Béclométhasone 100 μg</w:t>
      </w:r>
    </w:p>
    <w:p w:rsidR="00000000" w:rsidDel="00000000" w:rsidP="00000000" w:rsidRDefault="00000000" w:rsidRPr="00000000" w14:paraId="00000036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Budésonide et mométasone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*A éviter*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Solution de rechange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Béclométhasone </w:t>
      </w:r>
    </w:p>
    <w:p w:rsidR="00000000" w:rsidDel="00000000" w:rsidP="00000000" w:rsidRDefault="00000000" w:rsidRPr="00000000" w14:paraId="0000003B">
      <w:pPr>
        <w:ind w:left="372" w:firstLine="708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Budésonide 200 μg = Béclométhasone 100 μg </w:t>
      </w:r>
    </w:p>
    <w:p w:rsidR="00000000" w:rsidDel="00000000" w:rsidP="00000000" w:rsidRDefault="00000000" w:rsidRPr="00000000" w14:paraId="0000003C">
      <w:pPr>
        <w:ind w:left="372" w:firstLine="708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Mométasone 200 μg = Béclométhasone 100 μg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patients actuellement sous traitement avec cette association et la tolérant peuvent conserver leur thérapie en autant qu’un suivi étroit des effets indésirables et de l’efficacité des corticostéroïdes soit exercé.</w:t>
      </w:r>
    </w:p>
    <w:p w:rsidR="00000000" w:rsidDel="00000000" w:rsidP="00000000" w:rsidRDefault="00000000" w:rsidRPr="00000000" w14:paraId="0000003E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Suivi :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Surveiller toxicité des corticostéroïdes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Syndrome de Cushing : faciès lunaire, acné, bosse de bison, excitation/insomnie, hypertension, ostéoporose, intolérance au glucose, risque accru d’infection, augmentation de l’appétit et gain de poids, augmentation de la pilosité, facilité à faire des ecchymoses, stries mauves sur l’abdomen.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Suppression de l’axe hypothalamo-hypophysaire : mélanodermie, fatigue, faiblesse, hypotension, perte de poids, troubles digestifs. Un cortisol plasmatique et ACTH peuvent être effectués si soupçon d’une suppression surrénalienne.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rtl w:val="0"/>
        </w:rPr>
        <w:t xml:space="preserve">Suggestion de la pharmacie ou nouvelle prescription</w:t>
      </w:r>
    </w:p>
    <w:tbl>
      <w:tblPr>
        <w:tblStyle w:val="Table1"/>
        <w:tblW w:w="93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c>
          <w:tcPr/>
          <w:p w:rsidR="00000000" w:rsidDel="00000000" w:rsidP="00000000" w:rsidRDefault="00000000" w:rsidRPr="00000000" w14:paraId="00000044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Date : _____/_____/_____</w:t>
            </w:r>
          </w:p>
          <w:p w:rsidR="00000000" w:rsidDel="00000000" w:rsidP="00000000" w:rsidRDefault="00000000" w:rsidRPr="00000000" w14:paraId="00000045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Patient(e) : ________________________          DDN : _____/_____/_____</w:t>
            </w:r>
          </w:p>
          <w:p w:rsidR="00000000" w:rsidDel="00000000" w:rsidP="00000000" w:rsidRDefault="00000000" w:rsidRPr="00000000" w14:paraId="00000046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 Téléphone : 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Rx : </w:t>
            </w:r>
          </w:p>
          <w:p w:rsidR="00000000" w:rsidDel="00000000" w:rsidP="00000000" w:rsidRDefault="00000000" w:rsidRPr="00000000" w14:paraId="00000048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Ren : _____</w:t>
            </w:r>
          </w:p>
          <w:p w:rsidR="00000000" w:rsidDel="00000000" w:rsidP="00000000" w:rsidRDefault="00000000" w:rsidRPr="00000000" w14:paraId="0000004D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Médecin : __________     Licence : __________    Signature : __________</w:t>
            </w:r>
          </w:p>
          <w:p w:rsidR="00000000" w:rsidDel="00000000" w:rsidP="00000000" w:rsidRDefault="00000000" w:rsidRPr="00000000" w14:paraId="00000051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Adresse : ____________________________________________</w:t>
            </w:r>
          </w:p>
          <w:p w:rsidR="00000000" w:rsidDel="00000000" w:rsidP="00000000" w:rsidRDefault="00000000" w:rsidRPr="00000000" w14:paraId="00000052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#Téléphone : ____________________     #Télécopieur : ________________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contextualSpacing w:val="0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Certification du prescripteur </w:t>
            </w:r>
          </w:p>
          <w:p w:rsidR="00000000" w:rsidDel="00000000" w:rsidP="00000000" w:rsidRDefault="00000000" w:rsidRPr="00000000" w14:paraId="00000054">
            <w:pPr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Je certifie que :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cette ordonnance est une ordonnance originale,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pharmacien identifié précité est le seul destinataire,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l’original ne sera pas réutilisé.</w:t>
            </w:r>
          </w:p>
        </w:tc>
      </w:tr>
    </w:tbl>
    <w:p w:rsidR="00000000" w:rsidDel="00000000" w:rsidP="00000000" w:rsidRDefault="00000000" w:rsidRPr="00000000" w14:paraId="00000058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Veuillez svp nous faire parvenir une copie de cette page avec votre conduite à tenir. </w:t>
      </w:r>
    </w:p>
    <w:p w:rsidR="00000000" w:rsidDel="00000000" w:rsidP="00000000" w:rsidRDefault="00000000" w:rsidRPr="00000000" w14:paraId="0000005A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vous avez besoin d’information complémentaire, n’hésitez pas à communiquer avec moi. </w:t>
      </w:r>
    </w:p>
    <w:p w:rsidR="00000000" w:rsidDel="00000000" w:rsidP="00000000" w:rsidRDefault="00000000" w:rsidRPr="00000000" w14:paraId="0000005C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Cordialement, </w:t>
      </w:r>
    </w:p>
    <w:p w:rsidR="00000000" w:rsidDel="00000000" w:rsidP="00000000" w:rsidRDefault="00000000" w:rsidRPr="00000000" w14:paraId="0000005E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Pharmacien(ne) : ____________________</w:t>
        <w:tab/>
        <w:t xml:space="preserve">Pharmacie : ____________________</w:t>
      </w:r>
    </w:p>
    <w:p w:rsidR="00000000" w:rsidDel="00000000" w:rsidP="00000000" w:rsidRDefault="00000000" w:rsidRPr="00000000" w14:paraId="00000060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#Téléphone : ____________________</w:t>
        <w:tab/>
        <w:t xml:space="preserve">#Télécopieur : ____________________</w:t>
      </w:r>
    </w:p>
    <w:p w:rsidR="00000000" w:rsidDel="00000000" w:rsidP="00000000" w:rsidRDefault="00000000" w:rsidRPr="00000000" w14:paraId="00000061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Références :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Monographie : Budésonide (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Mylan-Budesonide AQ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Mylan Pharmateucicals ULC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Ontario, Canada,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16 mai 2018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Monographie : Stribild (elvitégravir, cobicistat, emtricitabine, ténofovir disoproxil fumarate)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Gilead Sciences, Ontario, Canada, 17 septembre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20" w:hanging="36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Saberi P, Phengrasamy T and Nguyen DP. Inhaled corticosteroid use in HIV-positive individuals taking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protease inhibitors: a review of pharmacokinetics, case reports and clinical management. HIV medicine 2013: 1-11. 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20" w:hanging="36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1d1d1d"/>
          <w:sz w:val="22"/>
          <w:szCs w:val="22"/>
          <w:rtl w:val="0"/>
        </w:rPr>
        <w:t xml:space="preserve">Kedem E, Shahar E, Hassoun G et al. Iatrogenic Cushing’s syndrome due to coadministration of ritonavir and inhaled budesonide in an asthmatic human immunodeficiency virus infected patient. J Asthma. 2010; 47 (7): 830–831.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20" w:hanging="36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1d1d1d"/>
          <w:sz w:val="22"/>
          <w:szCs w:val="22"/>
          <w:rtl w:val="0"/>
        </w:rPr>
        <w:t xml:space="preserve">Gray D, Roux P, Carrihill M et al. Adrenal suppression and Cushing’s syndrome secondary to ritonavir and budesonide. S Afr Med J. 2010; 100 (5): 296–297.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20" w:hanging="36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1d1d1d"/>
          <w:sz w:val="22"/>
          <w:szCs w:val="22"/>
          <w:rtl w:val="0"/>
        </w:rPr>
        <w:t xml:space="preserve">Yoganathan K, David L, Williams C et al. Cushing’s syndrome with adrenal suppression induced by inhaled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1d1d1d"/>
          <w:sz w:val="22"/>
          <w:szCs w:val="22"/>
          <w:rtl w:val="0"/>
        </w:rPr>
        <w:t xml:space="preserve">budenoside due to a ritonavir drug interaction in a woman with HIV infection. Int J STD AIDS 2012; 23: 520-521.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20" w:hanging="36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Boyd A, Hadigan C, Pau A. Darunavir/ritonavir Does Not Significantly Increase Plasma Concentrations of Orally Inhaled Beclomethasone in Healthy Volunteers. Conference on Retroviruses and Opportunistic Infections, Seattle, 2012, Abstract 611. 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20" w:hanging="36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Boyd A, Penzak S, Nieman L et al. Co-administration of Orally Inhaled Beclomethasone Dipropionate and HIV Protease Inhibitor Does Not Significantly Alter Adrenal Function in Healthy Volunteers. Conference on Retroviruses and Opportunistic Infections, Seattle, 2012, Abstract 610. 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20" w:hanging="36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Lougheed MD, Lemiere C, Ducharme F et al. Canadian Thoracic Society 2012 guideline update: Diagnosis and management of asthma in preschoolers, children and adults. Can Respir J 2012; 19 (2): 127-164. 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20" w:hanging="36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Ciclésonide (Alvesco), AstraZeneca Canada Inc., Ontario, Canada, 19 janvier 2017. 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20" w:hanging="36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Foisy MM, Yakiwchuk, Chiu I et al. Adrenal suppression and Cushing’s syndrome secondary to an interaction between ritonavir and fluticasone : a review of the literature. HIV Med, 2008, 9(6): 389-396.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20" w:hanging="36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Fluticasone (Flovent HFA/Diskus), GlaxoSmithKline Inc., Ontario, Canada, 26 avril 2018.  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20" w:hanging="36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Santé Canada. Renseignements importants sur l’innocuité-interaction médicamenteuse entre le propionate de fluticasone (Flonase/Flovent/Advair) et le ritonavir (Norvir/Kaletra). Disponible : </w:t>
        <w:br w:type="textWrapping"/>
      </w:r>
      <w:hyperlink r:id="rId6">
        <w:r w:rsidDel="00000000" w:rsidR="00000000" w:rsidRPr="00000000">
          <w:rPr>
            <w:rFonts w:ascii="Century Gothic" w:cs="Century Gothic" w:eastAsia="Century Gothic" w:hAnsi="Century Gothic"/>
            <w:color w:val="0563c1"/>
            <w:sz w:val="22"/>
            <w:szCs w:val="22"/>
            <w:u w:val="single"/>
            <w:rtl w:val="0"/>
          </w:rPr>
          <w:t xml:space="preserve">http://canadiensensante.gc.ca/recall-alert-rappel-avis/hc-sc/2004/14261a-fra.php</w:t>
        </w:r>
      </w:hyperlink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 Publié 22 janvier 2004. Consulté le 18 juin 2015. 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14" w:hanging="357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Molimard M, Girodet PO, Pollet C et al. Inhaled corticosteroids and adrenal insufficiency: prevalence and clinical presentation. Drug Saf 2008; 31 (9): 769-774. 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14" w:hanging="357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Mometasone(Asmanex Twisthaler), Merck, Québec, Canada, 24 janvier 2018. 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14" w:hanging="357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Swaris B, Teo S, Monterio E. Tamsulosin induced retrograde ejaculation and intramuscular steroid induced Cushing’s syndrome in a patient with Ritonavir-boosted antiretroviral regimen. BHIVA 2014, Liverpool UK, 1-4 april 2014, abstract P336.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14" w:hanging="357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Jain L. Iatrogenic Cushing’s as a recognised complication of concomitant ritonavir and steroid use: A systematic review of cases and recommendations for clinical practice. BHIVA 2014, Liverpool UK, 1-4 april 2014, abstract P177.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14" w:hanging="357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Ramanathan R, Pau AK, Busse KH et al. Iatrogenic Cushing syndrome after epidural triamcinolone injections in an HIV type 1-infected patient receiving therapy with ritonavir –lopinavir. Clinical infectious diseases. 2008; 47:e97-9.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14" w:hanging="357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Danaher PJ, Salsbury TL, Delmar JA. Metabolic derangement after injection of triamcinolone into the hip of an HIV-infected patient receiving ritonavir. Orthopedics, 2009, 32(6): 450.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14" w:hanging="357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Dort K, Padia S, Wispelwey B et al. Adrenal suppression due to an interaction between ritonavir and injected triamcinolone: a case report. AIDS Res Ther. 2009;6:10. 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14" w:hanging="357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Yombi JC, Maiter D, Belkhir L et al. Iatrogenic Cushing’s syndrome and secondary adrenal insufficiency after a single intraarticular administration of triamcinolone acetonide in HIV-infected patients treated with ritonavir. Clin Rheumatol. 2008;27 Suppl 2:579-82. 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14" w:hanging="357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Hyle EP, Wood BR, Backman ES et al. High frequency of hypothalamio-pituitary-adrenal axis dysfunction after local corticosteroid injection in HIV-infected patients on protease inhibitor therapy. J Acquir immune defic syndr. 2013 aug 15; 63(5): 602-8.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14" w:hanging="357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Molloy A, Matheson NJ, Meyer PAR et al. Cushing’s syndrome and adrenal axis suppression in a patient treated with ritonavir and corticosteroid eye drops. AIDS, 2011, 25(10): 1337-1338. 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14" w:hanging="357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Methyprednisolone (Depo-Medrol), Pfizer Canada Inc., Québec, Canada, 19 janvier 2015. 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14" w:hanging="357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Monographies des inhibiteurs de la protéase.</w:t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14" w:hanging="357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Genvoya (elvitégravir, cobicistat, emtricitabine, ténofovir alafénamide) Gilead Sciences, Ontario, Canada, 17 septembre 2018.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Guide thérapeutique VIH. [En ligne]. Disponible 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http://www.guidetherapeutiquevih.com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Mincho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www.guidetherapeutiqueVIH.com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  <w:t xml:space="preserve">                                                                  Octobre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2018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◻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anadiensensante.gc.ca/recall-alert-rappel-avis/hc-sc/2004/14261a-fra.php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