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Op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rtl w:val="0"/>
        </w:rPr>
        <w:t xml:space="preserve">inion pharmaceutique 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Century Gothic" w:cs="Century Gothic" w:eastAsia="Century Gothic" w:hAnsi="Century Gothic"/>
          <w:b w:val="1"/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2"/>
          <w:szCs w:val="22"/>
          <w:rtl w:val="0"/>
        </w:rPr>
        <w:t xml:space="preserve">Interaction entre les antiacides et le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R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2"/>
          <w:szCs w:val="22"/>
          <w:rtl w:val="0"/>
        </w:rPr>
        <w:t xml:space="preserve">altégravir (Isentress &amp; Isentress HD)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both"/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rtl w:val="0"/>
        </w:rPr>
        <w:t xml:space="preserve">Patient(e) : _________________________</w:t>
        <w:tab/>
        <w:tab/>
        <w:tab/>
        <w:t xml:space="preserve">DDN : _____/_____/_____</w:t>
      </w:r>
    </w:p>
    <w:p w:rsidR="00000000" w:rsidDel="00000000" w:rsidP="00000000" w:rsidRDefault="00000000" w:rsidRPr="00000000" w14:paraId="00000005">
      <w:pPr>
        <w:contextualSpacing w:val="0"/>
        <w:jc w:val="both"/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both"/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rtl w:val="0"/>
        </w:rPr>
        <w:t xml:space="preserve">Après avoir analysé le dossier de votre patient(e), j’ai relevé un problème relié à sa pharmacothérapie. </w:t>
      </w:r>
    </w:p>
    <w:p w:rsidR="00000000" w:rsidDel="00000000" w:rsidP="00000000" w:rsidRDefault="00000000" w:rsidRPr="00000000" w14:paraId="00000007">
      <w:pPr>
        <w:contextualSpacing w:val="0"/>
        <w:jc w:val="both"/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both"/>
        <w:rPr>
          <w:rFonts w:ascii="Century Gothic" w:cs="Century Gothic" w:eastAsia="Century Gothic" w:hAnsi="Century Gothic"/>
          <w:b w:val="1"/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2"/>
          <w:szCs w:val="22"/>
          <w:rtl w:val="0"/>
        </w:rPr>
        <w:t xml:space="preserve">Interaction entre 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Antiacides (à base de magnésium, aluminium et/ou calcium) :_______________. </w:t>
      </w:r>
    </w:p>
    <w:p w:rsidR="00000000" w:rsidDel="00000000" w:rsidP="00000000" w:rsidRDefault="00000000" w:rsidRPr="00000000" w14:paraId="0000000A">
      <w:pPr>
        <w:contextualSpacing w:val="0"/>
        <w:jc w:val="both"/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rtl w:val="0"/>
        </w:rPr>
        <w:t xml:space="preserve">Et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Raltégravir (Isentress)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Raltégravir HD (Isentress HD)</w:t>
      </w:r>
    </w:p>
    <w:p w:rsidR="00000000" w:rsidDel="00000000" w:rsidP="00000000" w:rsidRDefault="00000000" w:rsidRPr="00000000" w14:paraId="0000000D">
      <w:pPr>
        <w:contextualSpacing w:val="0"/>
        <w:jc w:val="both"/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jc w:val="both"/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rtl w:val="0"/>
        </w:rPr>
        <w:t xml:space="preserve">Une </w:t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2"/>
          <w:szCs w:val="22"/>
          <w:rtl w:val="0"/>
        </w:rPr>
        <w:t xml:space="preserve">↓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rtl w:val="0"/>
        </w:rPr>
        <w:t xml:space="preserve"> de l’efficacité clinique du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R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rtl w:val="0"/>
        </w:rPr>
        <w:t xml:space="preserve">altégravir peut survenir lors de l’administration avec un antiacide à base de cations (Ca, Al, Mg, etc.). Voici pourquoi 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vertAlign w:val="superscript"/>
          <w:rtl w:val="0"/>
        </w:rPr>
        <w:t xml:space="preserve">1-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superscript"/>
          <w:rtl w:val="0"/>
        </w:rPr>
        <w:t xml:space="preserve">9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rtl w:val="0"/>
        </w:rPr>
        <w:t xml:space="preserve"> 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Les antiacides sont à base de cations (Ca, Al, Mg, etc.).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Ces cations peuvent se fixer au Raltégravir.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Cette chélation peut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↓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son absorption et possiblement son efficacité clinique.</w:t>
      </w:r>
    </w:p>
    <w:p w:rsidR="00000000" w:rsidDel="00000000" w:rsidP="00000000" w:rsidRDefault="00000000" w:rsidRPr="00000000" w14:paraId="00000012">
      <w:pPr>
        <w:contextualSpacing w:val="0"/>
        <w:jc w:val="both"/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jc w:val="both"/>
        <w:rPr>
          <w:rFonts w:ascii="Century Gothic" w:cs="Century Gothic" w:eastAsia="Century Gothic" w:hAnsi="Century Gothic"/>
          <w:b w:val="1"/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2"/>
          <w:szCs w:val="22"/>
          <w:rtl w:val="0"/>
        </w:rPr>
        <w:t xml:space="preserve">Pour de plus amples informations, voici des études et un rapport de cas évaluant les interactions ci-haut 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2"/>
          <w:szCs w:val="22"/>
          <w:vertAlign w:val="superscript"/>
          <w:rtl w:val="0"/>
        </w:rPr>
        <w:t xml:space="preserve">1-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vertAlign w:val="superscript"/>
          <w:rtl w:val="0"/>
        </w:rPr>
        <w:t xml:space="preserve">3, 7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2"/>
          <w:szCs w:val="22"/>
          <w:rtl w:val="0"/>
        </w:rPr>
        <w:t xml:space="preserve"> :</w:t>
      </w:r>
    </w:p>
    <w:p w:rsidR="00000000" w:rsidDel="00000000" w:rsidP="00000000" w:rsidRDefault="00000000" w:rsidRPr="00000000" w14:paraId="00000014">
      <w:pPr>
        <w:spacing w:line="276" w:lineRule="auto"/>
        <w:ind w:left="1440" w:hanging="720"/>
        <w:contextualSpacing w:val="0"/>
        <w:jc w:val="right"/>
        <w:rPr>
          <w:rFonts w:ascii="Century Gothic" w:cs="Century Gothic" w:eastAsia="Century Gothic" w:hAnsi="Century Gothic"/>
          <w:sz w:val="22"/>
          <w:szCs w:val="22"/>
          <w:vertAlign w:val="superscript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18"/>
          <w:szCs w:val="18"/>
          <w:rtl w:val="0"/>
        </w:rPr>
        <w:t xml:space="preserve">(*)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 L’interaction est jugée cliniquement non significative. </w:t>
      </w:r>
      <w:r w:rsidDel="00000000" w:rsidR="00000000" w:rsidRPr="00000000">
        <w:rPr>
          <w:rtl w:val="0"/>
        </w:rPr>
      </w:r>
    </w:p>
    <w:tbl>
      <w:tblPr>
        <w:tblStyle w:val="Table1"/>
        <w:tblW w:w="94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95"/>
        <w:gridCol w:w="3135"/>
        <w:gridCol w:w="3375"/>
        <w:tblGridChange w:id="0">
          <w:tblGrid>
            <w:gridCol w:w="2895"/>
            <w:gridCol w:w="3135"/>
            <w:gridCol w:w="33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contextualSpacing w:val="0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Antiacides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contextualSpacing w:val="0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Isentress (400 mg BID)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contextualSpacing w:val="0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Isentress HD (1200 mg DIE)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contextualSpacing w:val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Hydroxyde d’aluminium et/ou  de magnésium </w:t>
            </w:r>
          </w:p>
          <w:p w:rsidR="00000000" w:rsidDel="00000000" w:rsidP="00000000" w:rsidRDefault="00000000" w:rsidRPr="00000000" w14:paraId="00000019">
            <w:pPr>
              <w:widowControl w:val="0"/>
              <w:contextualSpacing w:val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(20 mL dose unique)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contextualSpacing w:val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Prise simultanée : </w:t>
            </w:r>
          </w:p>
          <w:p w:rsidR="00000000" w:rsidDel="00000000" w:rsidP="00000000" w:rsidRDefault="00000000" w:rsidRPr="00000000" w14:paraId="0000001B">
            <w:pPr>
              <w:spacing w:line="360" w:lineRule="auto"/>
              <w:contextualSpacing w:val="0"/>
              <w:jc w:val="both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↓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 49 % SSC et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63 % Cmin </w:t>
            </w:r>
          </w:p>
          <w:p w:rsidR="00000000" w:rsidDel="00000000" w:rsidP="00000000" w:rsidRDefault="00000000" w:rsidRPr="00000000" w14:paraId="0000001C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2 heures avant Isentress : </w:t>
            </w:r>
          </w:p>
          <w:p w:rsidR="00000000" w:rsidDel="00000000" w:rsidP="00000000" w:rsidRDefault="00000000" w:rsidRPr="00000000" w14:paraId="0000001D">
            <w:pPr>
              <w:spacing w:line="360" w:lineRule="auto"/>
              <w:contextualSpacing w:val="0"/>
              <w:jc w:val="both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↓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 ~50% SSC et Cmin</w:t>
            </w:r>
          </w:p>
          <w:p w:rsidR="00000000" w:rsidDel="00000000" w:rsidP="00000000" w:rsidRDefault="00000000" w:rsidRPr="00000000" w14:paraId="0000001E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2 heures après Isentress : </w:t>
            </w:r>
          </w:p>
          <w:p w:rsidR="00000000" w:rsidDel="00000000" w:rsidP="00000000" w:rsidRDefault="00000000" w:rsidRPr="00000000" w14:paraId="0000001F">
            <w:pPr>
              <w:spacing w:line="360" w:lineRule="auto"/>
              <w:contextualSpacing w:val="0"/>
              <w:jc w:val="both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↓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 30 % SSC et 57 % Cmin</w:t>
            </w:r>
          </w:p>
          <w:p w:rsidR="00000000" w:rsidDel="00000000" w:rsidP="00000000" w:rsidRDefault="00000000" w:rsidRPr="00000000" w14:paraId="00000020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4 heures avant Isentress : </w:t>
            </w:r>
          </w:p>
          <w:p w:rsidR="00000000" w:rsidDel="00000000" w:rsidP="00000000" w:rsidRDefault="00000000" w:rsidRPr="00000000" w14:paraId="00000021">
            <w:pPr>
              <w:spacing w:line="360" w:lineRule="auto"/>
              <w:contextualSpacing w:val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↓ 19 % SSC et 60 % Cmin </w:t>
            </w:r>
          </w:p>
          <w:p w:rsidR="00000000" w:rsidDel="00000000" w:rsidP="00000000" w:rsidRDefault="00000000" w:rsidRPr="00000000" w14:paraId="00000022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4 heures après Isentress : </w:t>
            </w:r>
          </w:p>
          <w:p w:rsidR="00000000" w:rsidDel="00000000" w:rsidP="00000000" w:rsidRDefault="00000000" w:rsidRPr="00000000" w14:paraId="00000023">
            <w:pPr>
              <w:spacing w:line="360" w:lineRule="auto"/>
              <w:contextualSpacing w:val="0"/>
              <w:jc w:val="both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↓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 32 % SSC et 62 % Cmin</w:t>
            </w:r>
          </w:p>
          <w:p w:rsidR="00000000" w:rsidDel="00000000" w:rsidP="00000000" w:rsidRDefault="00000000" w:rsidRPr="00000000" w14:paraId="00000024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6 heures avant Isentress : </w:t>
            </w:r>
          </w:p>
          <w:p w:rsidR="00000000" w:rsidDel="00000000" w:rsidP="00000000" w:rsidRDefault="00000000" w:rsidRPr="00000000" w14:paraId="00000025">
            <w:pPr>
              <w:spacing w:line="360" w:lineRule="auto"/>
              <w:contextualSpacing w:val="0"/>
              <w:jc w:val="both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↓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 13 %  SSC et 50 % Cmin</w:t>
            </w:r>
          </w:p>
          <w:p w:rsidR="00000000" w:rsidDel="00000000" w:rsidP="00000000" w:rsidRDefault="00000000" w:rsidRPr="00000000" w14:paraId="00000026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6 heures après Isentress : </w:t>
            </w:r>
          </w:p>
          <w:p w:rsidR="00000000" w:rsidDel="00000000" w:rsidP="00000000" w:rsidRDefault="00000000" w:rsidRPr="00000000" w14:paraId="00000027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↓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 11 %  SSC et 49 % Cmin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contextualSpacing w:val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12 heures après Isentress HD : </w:t>
            </w:r>
          </w:p>
          <w:p w:rsidR="00000000" w:rsidDel="00000000" w:rsidP="00000000" w:rsidRDefault="00000000" w:rsidRPr="00000000" w14:paraId="00000029">
            <w:pPr>
              <w:spacing w:line="360" w:lineRule="auto"/>
              <w:contextualSpacing w:val="0"/>
              <w:jc w:val="both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↓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  14% SSC et 58% Cmin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contextualSpacing w:val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Carbonate de calcium</w:t>
            </w:r>
          </w:p>
          <w:p w:rsidR="00000000" w:rsidDel="00000000" w:rsidP="00000000" w:rsidRDefault="00000000" w:rsidRPr="00000000" w14:paraId="0000002B">
            <w:pPr>
              <w:widowControl w:val="0"/>
              <w:contextualSpacing w:val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(3 g  dose unique)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contextualSpacing w:val="0"/>
              <w:jc w:val="both"/>
              <w:rPr>
                <w:rFonts w:ascii="Noto Sans Symbols" w:cs="Noto Sans Symbols" w:eastAsia="Noto Sans Symbols" w:hAnsi="Noto Sans Symbols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2 heures avant Isentress 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↓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 55% SSC et 32% Cmin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(*)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contextualSpacing w:val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Prise simultanée : 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360" w:lineRule="auto"/>
              <w:contextualSpacing w:val="0"/>
              <w:jc w:val="both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↓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 72 % SSC et 48 % Cmin </w:t>
            </w:r>
          </w:p>
          <w:p w:rsidR="00000000" w:rsidDel="00000000" w:rsidP="00000000" w:rsidRDefault="00000000" w:rsidRPr="00000000" w14:paraId="00000030">
            <w:pPr>
              <w:widowControl w:val="0"/>
              <w:contextualSpacing w:val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12 heures après Isentress HD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superscript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1">
            <w:pPr>
              <w:widowControl w:val="0"/>
              <w:contextualSpacing w:val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↓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10 % SSC et 57 % Cmin</w:t>
            </w:r>
          </w:p>
        </w:tc>
      </w:tr>
    </w:tbl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entury Gothic" w:cs="Century Gothic" w:eastAsia="Century Gothic" w:hAnsi="Century Gothic"/>
          <w:sz w:val="22"/>
          <w:szCs w:val="22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6"/>
        </w:numPr>
        <w:ind w:left="720" w:hanging="360"/>
        <w:contextualSpacing w:val="1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Rapport de cas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superscript"/>
          <w:rtl w:val="0"/>
        </w:rPr>
        <w:t xml:space="preserve">5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 : </w:t>
      </w:r>
    </w:p>
    <w:p w:rsidR="00000000" w:rsidDel="00000000" w:rsidP="00000000" w:rsidRDefault="00000000" w:rsidRPr="00000000" w14:paraId="00000035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Un homme de 39 ans infecté par le VIH-1 a connu un échec virologique pendant qu'il recevait un traitement antirétroviral contenant du raltégravir avec l'administration concomitante de calcium (1g - vitamine D3 400 UI TID) en prévention de l’ostéoporose.  Les auteurs suggèrent que la liaison du calcium en raison de l'effet chélateur d'ions métalliques divalents du raltégravir a peut-être conduit à des niveaux sous-thérapeutiques de raltégravir et au développement de niveaux détectables de la charge virale chez ce patient.</w:t>
      </w:r>
    </w:p>
    <w:p w:rsidR="00000000" w:rsidDel="00000000" w:rsidP="00000000" w:rsidRDefault="00000000" w:rsidRPr="00000000" w14:paraId="00000036">
      <w:pPr>
        <w:contextualSpacing w:val="0"/>
        <w:rPr>
          <w:rFonts w:ascii="Century Gothic" w:cs="Century Gothic" w:eastAsia="Century Gothic" w:hAnsi="Century Gothic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>
          <w:rFonts w:ascii="Century Gothic" w:cs="Century Gothic" w:eastAsia="Century Gothic" w:hAnsi="Century Gothic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jc w:val="both"/>
        <w:rPr>
          <w:rFonts w:ascii="Century Gothic" w:cs="Century Gothic" w:eastAsia="Century Gothic" w:hAnsi="Century Gothic"/>
          <w:b w:val="1"/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2"/>
          <w:szCs w:val="22"/>
          <w:rtl w:val="0"/>
        </w:rPr>
        <w:t xml:space="preserve">Options thérapeutiques possibles 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2"/>
          <w:szCs w:val="22"/>
          <w:vertAlign w:val="superscript"/>
          <w:rtl w:val="0"/>
        </w:rPr>
        <w:t xml:space="preserve">1-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vertAlign w:val="superscript"/>
          <w:rtl w:val="0"/>
        </w:rPr>
        <w:t xml:space="preserve">9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2"/>
          <w:szCs w:val="22"/>
          <w:rtl w:val="0"/>
        </w:rPr>
        <w:t xml:space="preserve"> :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L’association de l’Isentress ou de l’Isentress HD avec un antiacide à base d’aluminium et/ou de magnésium n’est pas recommandée.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720"/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sz w:val="22"/>
          <w:szCs w:val="22"/>
          <w:rtl w:val="0"/>
        </w:rPr>
        <w:t xml:space="preserve">Si prise de Isentress 400 mg BID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ind w:left="144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Utiliser un antiacide à base de carbonate de calcium</w:t>
      </w:r>
    </w:p>
    <w:p w:rsidR="00000000" w:rsidDel="00000000" w:rsidP="00000000" w:rsidRDefault="00000000" w:rsidRPr="00000000" w14:paraId="0000003D">
      <w:pPr>
        <w:numPr>
          <w:ilvl w:val="0"/>
          <w:numId w:val="4"/>
        </w:numPr>
        <w:ind w:left="144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Substituer l’antiacide par un anti-H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subscript"/>
          <w:rtl w:val="0"/>
        </w:rPr>
        <w:t xml:space="preserve">2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 ou un IPP selon l’indication clinique.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both"/>
        <w:rPr>
          <w:rFonts w:ascii="Century Gothic" w:cs="Century Gothic" w:eastAsia="Century Gothic" w:hAnsi="Century Gothic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720"/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sz w:val="22"/>
          <w:szCs w:val="22"/>
          <w:rtl w:val="0"/>
        </w:rPr>
        <w:t xml:space="preserve">Si prise de Isentress HD 1200 mg </w:t>
      </w:r>
      <w:r w:rsidDel="00000000" w:rsidR="00000000" w:rsidRPr="00000000">
        <w:rPr>
          <w:rFonts w:ascii="Century Gothic" w:cs="Century Gothic" w:eastAsia="Century Gothic" w:hAnsi="Century Gothic"/>
          <w:i w:val="1"/>
          <w:sz w:val="22"/>
          <w:szCs w:val="22"/>
          <w:rtl w:val="0"/>
        </w:rPr>
        <w:t xml:space="preserve">DIE </w:t>
      </w:r>
      <w:r w:rsidDel="00000000" w:rsidR="00000000" w:rsidRPr="00000000">
        <w:rPr>
          <w:rFonts w:ascii="Century Gothic" w:cs="Century Gothic" w:eastAsia="Century Gothic" w:hAnsi="Century Gothic"/>
          <w:i w:val="1"/>
          <w:sz w:val="22"/>
          <w:szCs w:val="22"/>
          <w:rtl w:val="0"/>
        </w:rPr>
        <w:t xml:space="preserve">: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 L’association de l’Isentress HD avec un antiacide à base de calcium n’est pas recommandée.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4"/>
        </w:numPr>
        <w:ind w:left="144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Remplacer Isentress HD 1200 mg DIE par Isentress 400 mg BID avec un antiacide à base de carbonate de calcium.</w:t>
      </w:r>
    </w:p>
    <w:p w:rsidR="00000000" w:rsidDel="00000000" w:rsidP="00000000" w:rsidRDefault="00000000" w:rsidRPr="00000000" w14:paraId="00000041">
      <w:pPr>
        <w:numPr>
          <w:ilvl w:val="0"/>
          <w:numId w:val="4"/>
        </w:numPr>
        <w:ind w:left="144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Substituer l’antiacide par un anti-H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subscript"/>
          <w:rtl w:val="0"/>
        </w:rPr>
        <w:t xml:space="preserve">2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 ou un IPP selon l’indication clinique.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0" w:firstLine="0"/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sz w:val="22"/>
          <w:szCs w:val="22"/>
          <w:rtl w:val="0"/>
        </w:rPr>
        <w:t xml:space="preserve">En présence d’inobservance ou d’une échappée virologique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i w:val="1"/>
          <w:sz w:val="22"/>
          <w:szCs w:val="22"/>
          <w:rtl w:val="0"/>
        </w:rPr>
        <w:t xml:space="preserve">sous Isentress 400 mg BID :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44">
      <w:pPr>
        <w:numPr>
          <w:ilvl w:val="0"/>
          <w:numId w:val="4"/>
        </w:numPr>
        <w:ind w:left="144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Envisager un espacement entre le calcium et le raltégravir d’au moins 3 heures, puisque le temps avant d’atteindre la concentration plasmatique maximale à jeun de ce dernier est de 3 heures.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contextualSpacing w:val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jc w:val="both"/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contextualSpacing w:val="0"/>
        <w:jc w:val="both"/>
        <w:rPr>
          <w:rFonts w:ascii="Century Gothic" w:cs="Century Gothic" w:eastAsia="Century Gothic" w:hAnsi="Century Gothic"/>
          <w:b w:val="1"/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2"/>
          <w:szCs w:val="22"/>
          <w:rtl w:val="0"/>
        </w:rPr>
        <w:t xml:space="preserve">Suivi :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Surveiller l’efficacité thérapeutique du traitement anti-VIH, charge virale et CD4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+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contextualSpacing w:val="0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contextualSpacing w:val="0"/>
        <w:rPr>
          <w:rFonts w:ascii="Century Gothic" w:cs="Century Gothic" w:eastAsia="Century Gothic" w:hAnsi="Century Gothic"/>
          <w:b w:val="1"/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2"/>
          <w:szCs w:val="22"/>
          <w:rtl w:val="0"/>
        </w:rPr>
        <w:t xml:space="preserve">Suggestion de la pharmacie ou nouvelle prescription : </w:t>
      </w:r>
    </w:p>
    <w:p w:rsidR="00000000" w:rsidDel="00000000" w:rsidP="00000000" w:rsidRDefault="00000000" w:rsidRPr="00000000" w14:paraId="0000004B">
      <w:pPr>
        <w:contextualSpacing w:val="0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9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96"/>
        <w:tblGridChange w:id="0">
          <w:tblGrid>
            <w:gridCol w:w="9396"/>
          </w:tblGrid>
        </w:tblGridChange>
      </w:tblGrid>
      <w:tr>
        <w:tc>
          <w:tcPr/>
          <w:p w:rsidR="00000000" w:rsidDel="00000000" w:rsidP="00000000" w:rsidRDefault="00000000" w:rsidRPr="00000000" w14:paraId="0000004C">
            <w:pPr>
              <w:contextualSpacing w:val="0"/>
              <w:jc w:val="both"/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  <w:rtl w:val="0"/>
              </w:rPr>
              <w:t xml:space="preserve">Date : _____/_____/_____</w:t>
            </w:r>
          </w:p>
          <w:p w:rsidR="00000000" w:rsidDel="00000000" w:rsidP="00000000" w:rsidRDefault="00000000" w:rsidRPr="00000000" w14:paraId="0000004D">
            <w:pPr>
              <w:contextualSpacing w:val="0"/>
              <w:jc w:val="both"/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  <w:rtl w:val="0"/>
              </w:rPr>
              <w:t xml:space="preserve">Patient(e) : ________________________          DDN : _____/_____/_____</w:t>
            </w:r>
          </w:p>
          <w:p w:rsidR="00000000" w:rsidDel="00000000" w:rsidP="00000000" w:rsidRDefault="00000000" w:rsidRPr="00000000" w14:paraId="0000004E">
            <w:pPr>
              <w:contextualSpacing w:val="0"/>
              <w:jc w:val="both"/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  <w:rtl w:val="0"/>
              </w:rPr>
              <w:t xml:space="preserve"># Téléphone : _____________________________</w:t>
            </w:r>
          </w:p>
        </w:tc>
      </w:tr>
      <w:tr>
        <w:tc>
          <w:tcPr/>
          <w:p w:rsidR="00000000" w:rsidDel="00000000" w:rsidP="00000000" w:rsidRDefault="00000000" w:rsidRPr="00000000" w14:paraId="0000004F">
            <w:pPr>
              <w:contextualSpacing w:val="0"/>
              <w:jc w:val="both"/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  <w:rtl w:val="0"/>
              </w:rPr>
              <w:t xml:space="preserve">Rx : </w:t>
            </w:r>
          </w:p>
          <w:p w:rsidR="00000000" w:rsidDel="00000000" w:rsidP="00000000" w:rsidRDefault="00000000" w:rsidRPr="00000000" w14:paraId="00000050">
            <w:pPr>
              <w:contextualSpacing w:val="0"/>
              <w:jc w:val="both"/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contextualSpacing w:val="0"/>
              <w:jc w:val="both"/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contextualSpacing w:val="0"/>
              <w:jc w:val="both"/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contextualSpacing w:val="0"/>
              <w:jc w:val="both"/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contextualSpacing w:val="0"/>
              <w:jc w:val="both"/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  <w:rtl w:val="0"/>
              </w:rPr>
              <w:t xml:space="preserve">Ren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ouvellements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  <w:rtl w:val="0"/>
              </w:rPr>
              <w:t xml:space="preserve"> : _____</w:t>
            </w:r>
          </w:p>
          <w:p w:rsidR="00000000" w:rsidDel="00000000" w:rsidP="00000000" w:rsidRDefault="00000000" w:rsidRPr="00000000" w14:paraId="00000055">
            <w:pPr>
              <w:contextualSpacing w:val="0"/>
              <w:jc w:val="both"/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contextualSpacing w:val="0"/>
              <w:jc w:val="both"/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contextualSpacing w:val="0"/>
              <w:jc w:val="both"/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contextualSpacing w:val="0"/>
              <w:jc w:val="both"/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  <w:rtl w:val="0"/>
              </w:rPr>
              <w:t xml:space="preserve">Médecin : __________   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Numéro de pratique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  <w:rtl w:val="0"/>
              </w:rPr>
              <w:t xml:space="preserve"> : __________    Signature : __________</w:t>
            </w:r>
          </w:p>
          <w:p w:rsidR="00000000" w:rsidDel="00000000" w:rsidP="00000000" w:rsidRDefault="00000000" w:rsidRPr="00000000" w14:paraId="00000059">
            <w:pPr>
              <w:contextualSpacing w:val="0"/>
              <w:jc w:val="both"/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  <w:rtl w:val="0"/>
              </w:rPr>
              <w:t xml:space="preserve">Adresse : ____________________________________________</w:t>
            </w:r>
          </w:p>
          <w:p w:rsidR="00000000" w:rsidDel="00000000" w:rsidP="00000000" w:rsidRDefault="00000000" w:rsidRPr="00000000" w14:paraId="0000005A">
            <w:pPr>
              <w:contextualSpacing w:val="0"/>
              <w:jc w:val="both"/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  <w:rtl w:val="0"/>
              </w:rPr>
              <w:t xml:space="preserve">#Téléphone : ____________________     #Télécopieur : ________________</w:t>
            </w:r>
          </w:p>
        </w:tc>
      </w:tr>
      <w:tr>
        <w:tc>
          <w:tcPr/>
          <w:p w:rsidR="00000000" w:rsidDel="00000000" w:rsidP="00000000" w:rsidRDefault="00000000" w:rsidRPr="00000000" w14:paraId="0000005B">
            <w:pPr>
              <w:contextualSpacing w:val="0"/>
              <w:jc w:val="center"/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  <w:rtl w:val="0"/>
              </w:rPr>
              <w:t xml:space="preserve">Certification du prescripteur </w:t>
            </w:r>
          </w:p>
          <w:p w:rsidR="00000000" w:rsidDel="00000000" w:rsidP="00000000" w:rsidRDefault="00000000" w:rsidRPr="00000000" w14:paraId="0000005C">
            <w:pPr>
              <w:contextualSpacing w:val="0"/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  <w:rtl w:val="0"/>
              </w:rPr>
              <w:t xml:space="preserve">Je certifie que : 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cette ordonnance est une ordonnance originale, 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 pharmacien identifié précité est le seul destinataire, 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l’original ne sera pas réutilisé.</w:t>
            </w:r>
          </w:p>
        </w:tc>
      </w:tr>
    </w:tbl>
    <w:p w:rsidR="00000000" w:rsidDel="00000000" w:rsidP="00000000" w:rsidRDefault="00000000" w:rsidRPr="00000000" w14:paraId="00000060">
      <w:pPr>
        <w:contextualSpacing w:val="0"/>
        <w:jc w:val="both"/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contextualSpacing w:val="0"/>
        <w:jc w:val="both"/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rtl w:val="0"/>
        </w:rPr>
        <w:t xml:space="preserve">Veuillez svp nous faire parvenir une copie de cette page avec votre conduite à tenir. </w:t>
      </w:r>
    </w:p>
    <w:p w:rsidR="00000000" w:rsidDel="00000000" w:rsidP="00000000" w:rsidRDefault="00000000" w:rsidRPr="00000000" w14:paraId="00000062">
      <w:pPr>
        <w:contextualSpacing w:val="0"/>
        <w:jc w:val="both"/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contextualSpacing w:val="0"/>
        <w:jc w:val="both"/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rtl w:val="0"/>
        </w:rPr>
        <w:t xml:space="preserve">Si vous avez besoin d’information complémentaire, n’hésitez pas à communiquer avec moi. </w:t>
      </w:r>
    </w:p>
    <w:p w:rsidR="00000000" w:rsidDel="00000000" w:rsidP="00000000" w:rsidRDefault="00000000" w:rsidRPr="00000000" w14:paraId="00000064">
      <w:pPr>
        <w:contextualSpacing w:val="0"/>
        <w:jc w:val="both"/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contextualSpacing w:val="0"/>
        <w:jc w:val="both"/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rtl w:val="0"/>
        </w:rPr>
        <w:t xml:space="preserve">Cordialement, </w:t>
      </w:r>
    </w:p>
    <w:p w:rsidR="00000000" w:rsidDel="00000000" w:rsidP="00000000" w:rsidRDefault="00000000" w:rsidRPr="00000000" w14:paraId="00000066">
      <w:pPr>
        <w:contextualSpacing w:val="0"/>
        <w:jc w:val="both"/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contextualSpacing w:val="0"/>
        <w:jc w:val="both"/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rtl w:val="0"/>
        </w:rPr>
        <w:t xml:space="preserve">Pharmacien(ne) : ____________________</w:t>
        <w:tab/>
        <w:t xml:space="preserve">Pharmacie : ____________________</w:t>
      </w:r>
    </w:p>
    <w:p w:rsidR="00000000" w:rsidDel="00000000" w:rsidP="00000000" w:rsidRDefault="00000000" w:rsidRPr="00000000" w14:paraId="00000068">
      <w:pPr>
        <w:contextualSpacing w:val="0"/>
        <w:jc w:val="both"/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rtl w:val="0"/>
        </w:rPr>
        <w:t xml:space="preserve">#Téléphone : ____________________</w:t>
        <w:tab/>
        <w:t xml:space="preserve">#Télécopieur : ____________________</w:t>
      </w:r>
    </w:p>
    <w:p w:rsidR="00000000" w:rsidDel="00000000" w:rsidP="00000000" w:rsidRDefault="00000000" w:rsidRPr="00000000" w14:paraId="00000069">
      <w:pPr>
        <w:contextualSpacing w:val="0"/>
        <w:jc w:val="both"/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contextualSpacing w:val="0"/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contextualSpacing w:val="0"/>
        <w:jc w:val="both"/>
        <w:rPr>
          <w:rFonts w:ascii="Century Gothic" w:cs="Century Gothic" w:eastAsia="Century Gothic" w:hAnsi="Century Gothic"/>
          <w:b w:val="1"/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2"/>
          <w:szCs w:val="22"/>
          <w:rtl w:val="0"/>
        </w:rPr>
        <w:t xml:space="preserve">Références : 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Monographie : Isentress &amp; Isentress HD (comprimés de raltégravir à 400 mg et 600 mg respectivement)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,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numéro de contrôle de la présentation : 210317, Merck Canada Inc., Québec, Canada, Septembre 2018.</w:t>
      </w:r>
    </w:p>
    <w:p w:rsidR="00000000" w:rsidDel="00000000" w:rsidP="00000000" w:rsidRDefault="00000000" w:rsidRPr="00000000" w14:paraId="0000006E">
      <w:pPr>
        <w:numPr>
          <w:ilvl w:val="0"/>
          <w:numId w:val="1"/>
        </w:numPr>
        <w:ind w:left="720" w:hanging="360"/>
        <w:contextualSpacing w:val="1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Isentress (raltegravir), European public assessment report (EPAR) Product Information, London, United Kingdom, June 2018.</w:t>
      </w:r>
    </w:p>
    <w:p w:rsidR="00000000" w:rsidDel="00000000" w:rsidP="00000000" w:rsidRDefault="00000000" w:rsidRPr="00000000" w14:paraId="0000006F">
      <w:pPr>
        <w:numPr>
          <w:ilvl w:val="0"/>
          <w:numId w:val="1"/>
        </w:numPr>
        <w:ind w:left="720" w:hanging="360"/>
        <w:contextualSpacing w:val="1"/>
        <w:jc w:val="both"/>
        <w:rPr>
          <w:rFonts w:ascii="Roboto" w:cs="Roboto" w:eastAsia="Roboto" w:hAnsi="Roboto"/>
          <w:color w:val="4d4d4d"/>
          <w:sz w:val="21"/>
          <w:szCs w:val="21"/>
          <w:shd w:fill="fafafa" w:val="clear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Isentress &amp; Isentress HD, Prescribing Information, Merck &amp; Co Inc, New Jersey, USA, March 2018.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contextualSpacing w:val="1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Kiser JJ, Bumpass JB, Meditz A, et al. Effect of antacids on the pharmacokinetics of raltegravir in human immunodeficiency virus-seronegative volunteers. Antimicrob Agents Chemother 2010;54(12):4999-5003.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ind w:left="720" w:hanging="36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Roberts JL, et al. Virologic failure with a raltegravir-containing antiretroviral regimen and concomitant calcium administration. Pharmacother, 2011, 31(10): 298e-302e.</w:t>
      </w:r>
    </w:p>
    <w:p w:rsidR="00000000" w:rsidDel="00000000" w:rsidP="00000000" w:rsidRDefault="00000000" w:rsidRPr="00000000" w14:paraId="00000072">
      <w:pPr>
        <w:numPr>
          <w:ilvl w:val="0"/>
          <w:numId w:val="1"/>
        </w:numPr>
        <w:tabs>
          <w:tab w:val="left" w:pos="220"/>
          <w:tab w:val="left" w:pos="720"/>
        </w:tabs>
        <w:ind w:left="720" w:hanging="360"/>
        <w:contextualSpacing w:val="1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1d1d1d"/>
          <w:sz w:val="22"/>
          <w:szCs w:val="22"/>
          <w:rtl w:val="0"/>
        </w:rPr>
        <w:t xml:space="preserve">Moss DM, Siccardi M, Murphy M, at al. Divalent metals and pH alter raltegravir disposition in Vitro. Antimicrob Agents Chemother, 2012; 56(6): 3020-6.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ind w:left="720" w:hanging="360"/>
        <w:jc w:val="both"/>
        <w:rPr>
          <w:rFonts w:ascii="Century Gothic" w:cs="Century Gothic" w:eastAsia="Century Gothic" w:hAnsi="Century Gothic"/>
          <w:sz w:val="22"/>
          <w:szCs w:val="22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Krishna R, East L, Larson O, et al. Effect of metal-cation antacids on the pharmacokinetics of 1 200 mg raltegravir. J Pharm Pharmacol 2016; 68(11): 1359-65.</w:t>
      </w:r>
    </w:p>
    <w:p w:rsidR="00000000" w:rsidDel="00000000" w:rsidP="00000000" w:rsidRDefault="00000000" w:rsidRPr="00000000" w14:paraId="0000007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ind w:left="720" w:hanging="360"/>
        <w:jc w:val="both"/>
        <w:rPr>
          <w:rFonts w:ascii="Century Gothic" w:cs="Century Gothic" w:eastAsia="Century Gothic" w:hAnsi="Century Gothic"/>
          <w:sz w:val="22"/>
          <w:szCs w:val="22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Reynolds H, Lewis J, Egan D , et al. The effect of antacids and multivitamins on raltegravir [abstract 470]. 25th Conference on Retroviruses and Opportunistic Infections (CROI 2018), Boston, March 4-7, 2018.</w:t>
      </w:r>
    </w:p>
    <w:p w:rsidR="00000000" w:rsidDel="00000000" w:rsidP="00000000" w:rsidRDefault="00000000" w:rsidRPr="00000000" w14:paraId="0000007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ind w:left="714" w:hanging="357"/>
        <w:contextualSpacing w:val="0"/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rtl w:val="0"/>
        </w:rPr>
        <w:t xml:space="preserve">Guide thérapeutique VIH. [En ligne]. Disponible : </w:t>
      </w:r>
      <w:hyperlink r:id="rId6">
        <w:r w:rsidDel="00000000" w:rsidR="00000000" w:rsidRPr="00000000">
          <w:rPr>
            <w:rFonts w:ascii="Century Gothic" w:cs="Century Gothic" w:eastAsia="Century Gothic" w:hAnsi="Century Gothic"/>
            <w:color w:val="1155cc"/>
            <w:sz w:val="22"/>
            <w:szCs w:val="22"/>
            <w:u w:val="single"/>
            <w:rtl w:val="0"/>
          </w:rPr>
          <w:t xml:space="preserve">http://www.guidetherapeutiquevih.com</w:t>
        </w:r>
      </w:hyperlink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widowControl w:val="0"/>
        <w:tabs>
          <w:tab w:val="left" w:pos="220"/>
          <w:tab w:val="left" w:pos="720"/>
        </w:tabs>
        <w:contextualSpacing w:val="0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  <w:font w:name="Century Gothic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  <w:rtl w:val="0"/>
        </w:rPr>
        <w:t xml:space="preserve">www.guidetherapeutiqueVIH.com</w:t>
      </w:r>
    </w:hyperlink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  <w:t xml:space="preserve">                                                                                Septembre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2018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❏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❏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❏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❏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fr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guidetherapeutiquevih.com" TargetMode="Externa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CenturyGothic-regular.ttf"/><Relationship Id="rId6" Type="http://schemas.openxmlformats.org/officeDocument/2006/relationships/font" Target="fonts/CenturyGothic-bold.ttf"/><Relationship Id="rId7" Type="http://schemas.openxmlformats.org/officeDocument/2006/relationships/font" Target="fonts/CenturyGothic-italic.ttf"/><Relationship Id="rId8" Type="http://schemas.openxmlformats.org/officeDocument/2006/relationships/font" Target="fonts/CenturyGothic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guidetherapeutiquevi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