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le salmétérol et les antirétroviraux combinés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au ritonavir ou au cobicistat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Salmétérol 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0C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Atazanavir/Cobicistat (Evotaz)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Darunavir/Cobicistat (Prezcobix)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Darunavir/Cobicistat/Emtricitabine/Ténofovir alafénamide (Symtuza)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lvitégravir/Cobicistat/Emtricitabine/Ténofovir (Stribild, Genvoya)</w:t>
      </w:r>
    </w:p>
    <w:p w:rsidR="00000000" w:rsidDel="00000000" w:rsidP="00000000" w:rsidRDefault="00000000" w:rsidRPr="00000000" w14:paraId="00000011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Ritonavir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Atazanavir/Ritonavir (Reyataz/Norvir)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Darunavir/Ritonavir (Prezista/Norvir)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Lopinavir/Ritonavir (Kaletra)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augmentation du risque de toxicité du salmétérol (risque de prolongation de l’intervalle QTc) peut survenir lors de l’administration concomitante avec un antirétroviral ci-haut.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1-3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 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cobicistat et le ritonavir sont des inhibiteurs du cytochrome (CYP) 3A4.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salmétérol est un substrat de ce CYP.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inhibition peut accroître la concentration plasmatique du salmétérol et le risque d’exposition à ses effets indésirables et à sa toxicité cardiovasculaire.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ind w:left="1440" w:hanging="360"/>
        <w:contextualSpacing w:val="1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risque serait plus important en présence d’un désordre électrolytiques ou d’autres facteurs de risque d’allongement de l’intervalle QT.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amples informations, voici des études évaluant les interactions ci-haut 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Salmétérol + kétoconazole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1, 3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surface sous la courbe (SSC) du salmétérol était 15 fois plus élevée lorsque ce dernier était administré avec le kétoconazole 400 mg DIE, un puissant inhibiteur du CYP 3A4.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Parmi 15 sujets sains, 3 ont dû arrêter l’étude en raison d’effets bêta-adrénergiques (prolongation de l’intervalle QTc pour 2 sujets et palpitations accompagnées de tachycardie sinusale pour le troisième).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  <w:u w:val="single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possibles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 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i w:val="1"/>
          <w:color w:val="4b4b4b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4b4b4b"/>
          <w:sz w:val="22"/>
          <w:szCs w:val="22"/>
          <w:rtl w:val="0"/>
        </w:rPr>
        <w:t xml:space="preserve">Le salmetérol est contre-indiqué avec les antirétroviraux mentionnés ci-haut.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2-6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Substituer salmétérol par 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Formotérol 12 mcg BID (dose équivalente à salmétérol 50 mcg BID)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Indacatérol 75 mcg DIE (dose équivalente à salmétérol 50 mcg BID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Century Gothic" w:cs="Century Gothic" w:eastAsia="Century Gothic" w:hAnsi="Century Gothic"/>
          <w:i w:val="1"/>
          <w:color w:val="4b4b4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 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Surveiller l’efficacité du nouvel agoniste bêta-adrénergique.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Renouvellements : _____</w:t>
            </w:r>
          </w:p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Numéro de pratique : __________    Signature : __________</w:t>
            </w:r>
          </w:p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4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 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Monographie : Salmeterol (Serevent), GlaxoSmithKline Inc., Ontario, Canada, 9 juillet 2014.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8"/>
        </w:numPr>
        <w:tabs>
          <w:tab w:val="left" w:pos="220"/>
          <w:tab w:val="left" w:pos="720"/>
        </w:tabs>
        <w:spacing w:after="0" w:before="0" w:line="240" w:lineRule="auto"/>
        <w:ind w:left="714" w:right="0" w:hanging="357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 : Ritonavir (Norvir), Corporation AbbVie, Québec, Canada, 27 novembre 2017.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tabs>
          <w:tab w:val="left" w:pos="220"/>
          <w:tab w:val="left" w:pos="720"/>
        </w:tabs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 : Darunavir/cobicistat (Prezcobix), Janssen, Ontario, Canada, 7 avril 2017.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tabs>
          <w:tab w:val="left" w:pos="220"/>
          <w:tab w:val="left" w:pos="720"/>
        </w:tabs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 : Elvitégravir/cobicistat/emtricitabine/ténofovir DF (Stribild), Gilead, Ontario, Canada, 12 avril 2018.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tabs>
          <w:tab w:val="left" w:pos="220"/>
          <w:tab w:val="left" w:pos="720"/>
        </w:tabs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 : Elvitégravir/cobicistat/emtricitabine/ténofovir alafénamide</w:t>
        <w:br w:type="textWrapping"/>
        <w:t xml:space="preserve">(Genvoya), Gilead, Ontario, Canada, 24 mai 2017.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tabs>
          <w:tab w:val="left" w:pos="220"/>
          <w:tab w:val="left" w:pos="720"/>
        </w:tabs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 : Atazanavir/cobicistat (Evotaz), Bristol-Myers-Squibb, Québec, Canada, 8 septembre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Guide thérapeutique VIH. [En ligne]. Disponible 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http://www.guidetherapeutiquevih.com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  <w:t xml:space="preserve">                                                                               Septembre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2018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