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F6" w:rsidRDefault="00FF2E0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1A3FF6" w:rsidRDefault="001A3FF6">
      <w:pPr>
        <w:jc w:val="center"/>
        <w:rPr>
          <w:rFonts w:ascii="Century Gothic" w:eastAsia="Century Gothic" w:hAnsi="Century Gothic" w:cs="Century Gothic"/>
          <w:b/>
          <w:sz w:val="22"/>
          <w:szCs w:val="22"/>
          <w:shd w:val="clear" w:color="auto" w:fill="CFE2F3"/>
        </w:rPr>
      </w:pPr>
    </w:p>
    <w:p w:rsidR="001A3FF6" w:rsidRDefault="00FF2E05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la </w:t>
      </w:r>
      <w:proofErr w:type="spellStart"/>
      <w:r w:rsidR="0092204A">
        <w:rPr>
          <w:rFonts w:ascii="Century Gothic" w:eastAsia="Century Gothic" w:hAnsi="Century Gothic" w:cs="Century Gothic"/>
          <w:b/>
          <w:sz w:val="22"/>
          <w:szCs w:val="22"/>
        </w:rPr>
        <w:t>digoxine</w:t>
      </w:r>
      <w:proofErr w:type="spellEnd"/>
      <w:r w:rsidR="0092204A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et les antirétroviraux combinés </w:t>
      </w:r>
    </w:p>
    <w:p w:rsidR="001A3FF6" w:rsidRDefault="00FF2E05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au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ou au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</w:p>
    <w:p w:rsidR="001A3FF6" w:rsidRDefault="001A3FF6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CFE2F3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CFE2F3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: </w:t>
      </w:r>
    </w:p>
    <w:p w:rsidR="00E9407D" w:rsidRPr="00834CC8" w:rsidRDefault="009876AD" w:rsidP="00834CC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757FB7" w:rsidRPr="00834CC8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1A3FF6" w:rsidRPr="00834CC8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834CC8"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Pr="00834CC8" w:rsidRDefault="00FF2E05" w:rsidP="00757F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834CC8"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Default="00FF2E05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augmentation du risque d’effets indésirables de la </w:t>
      </w:r>
      <w:proofErr w:type="spellStart"/>
      <w:r w:rsidR="00E9407D">
        <w:rPr>
          <w:rFonts w:ascii="Century Gothic" w:eastAsia="Century Gothic" w:hAnsi="Century Gothic" w:cs="Century Gothic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peut survenir lors de l’adm</w:t>
      </w:r>
      <w:r w:rsidR="00E9407D">
        <w:rPr>
          <w:rFonts w:ascii="Century Gothic" w:eastAsia="Century Gothic" w:hAnsi="Century Gothic" w:cs="Century Gothic"/>
          <w:sz w:val="22"/>
          <w:szCs w:val="22"/>
        </w:rPr>
        <w:t xml:space="preserve">inistration concomitante avec </w:t>
      </w:r>
      <w:r w:rsidR="009876AD">
        <w:rPr>
          <w:rFonts w:ascii="Century Gothic" w:eastAsia="Century Gothic" w:hAnsi="Century Gothic" w:cs="Century Gothic"/>
          <w:sz w:val="22"/>
          <w:szCs w:val="22"/>
        </w:rPr>
        <w:t>l’antirétroviral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mentionné ci-haut. Voici pourquoi</w:t>
      </w:r>
      <w:r w:rsidR="009032A0">
        <w:rPr>
          <w:rFonts w:ascii="Century Gothic" w:eastAsia="Century Gothic" w:hAnsi="Century Gothic" w:cs="Century Gothic"/>
          <w:sz w:val="22"/>
          <w:szCs w:val="22"/>
          <w:vertAlign w:val="superscript"/>
        </w:rPr>
        <w:t>1-7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E9407D" w:rsidRDefault="00E9407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</w:t>
      </w:r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>itonavir</w:t>
      </w:r>
      <w:proofErr w:type="spellEnd"/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sont des inhibiteurs de la P-gp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1A3FF6" w:rsidRDefault="00FF2E0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</w:t>
      </w:r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’élimination de la </w:t>
      </w:r>
      <w:proofErr w:type="spellStart"/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implique </w:t>
      </w:r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>transorteur</w:t>
      </w:r>
      <w:proofErr w:type="spellEnd"/>
      <w:r w:rsidR="00E9407D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P-gp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1A3FF6" w:rsidRDefault="00FF2E0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L’inhibition </w:t>
      </w:r>
      <w:r w:rsidR="00E9407D">
        <w:rPr>
          <w:rFonts w:ascii="Century Gothic" w:eastAsia="Century Gothic" w:hAnsi="Century Gothic" w:cs="Century Gothic"/>
          <w:sz w:val="22"/>
          <w:szCs w:val="22"/>
        </w:rPr>
        <w:t>de la P-gp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peut augmenter </w:t>
      </w:r>
      <w:r>
        <w:rPr>
          <w:rFonts w:ascii="Century Gothic" w:eastAsia="Century Gothic" w:hAnsi="Century Gothic" w:cs="Century Gothic"/>
          <w:sz w:val="22"/>
          <w:szCs w:val="22"/>
        </w:rPr>
        <w:t>la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concentration plasmatique d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 la </w:t>
      </w:r>
      <w:proofErr w:type="spellStart"/>
      <w:r w:rsidR="00E9407D">
        <w:rPr>
          <w:rFonts w:ascii="Century Gothic" w:eastAsia="Century Gothic" w:hAnsi="Century Gothic" w:cs="Century Gothic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le risque d’effets indésirables associés.</w:t>
      </w:r>
    </w:p>
    <w:p w:rsidR="001A3FF6" w:rsidRDefault="001A3FF6">
      <w:pPr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34CC8" w:rsidRPr="00834CC8" w:rsidRDefault="00FF2E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Pour de plus amples informations, voici des études évaluant les interactions</w:t>
      </w:r>
      <w:r w:rsidR="00606154">
        <w:rPr>
          <w:rFonts w:ascii="Century Gothic" w:eastAsia="Century Gothic" w:hAnsi="Century Gothic" w:cs="Century Gothic"/>
          <w:b/>
          <w:sz w:val="22"/>
          <w:szCs w:val="22"/>
        </w:rPr>
        <w:t xml:space="preserve"> entre le </w:t>
      </w:r>
      <w:proofErr w:type="spellStart"/>
      <w:r w:rsidR="00606154"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 w:rsidR="00606154">
        <w:rPr>
          <w:rFonts w:ascii="Century Gothic" w:eastAsia="Century Gothic" w:hAnsi="Century Gothic" w:cs="Century Gothic"/>
          <w:b/>
          <w:sz w:val="22"/>
          <w:szCs w:val="22"/>
        </w:rPr>
        <w:t xml:space="preserve"> et la </w:t>
      </w:r>
      <w:proofErr w:type="spellStart"/>
      <w:r w:rsidR="00606154">
        <w:rPr>
          <w:rFonts w:ascii="Century Gothic" w:eastAsia="Century Gothic" w:hAnsi="Century Gothic" w:cs="Century Gothic"/>
          <w:b/>
          <w:sz w:val="22"/>
          <w:szCs w:val="22"/>
        </w:rPr>
        <w:t>digoxine</w:t>
      </w:r>
      <w:proofErr w:type="spellEnd"/>
      <w:r w:rsidR="00606154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</w:p>
    <w:p w:rsidR="009876AD" w:rsidRDefault="009876AD" w:rsidP="009876AD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834CC8" w:rsidRPr="00834CC8" w:rsidRDefault="00834CC8" w:rsidP="00834CC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entury Gothic" w:hAnsi="Arial" w:cs="Arial"/>
          <w:color w:val="000000"/>
        </w:rPr>
      </w:pP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0.5 mg IV DIE x 3 jours +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300 mg BID x 11 jours (état d’équilibre), étude chez sujets sains. Le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 diminué la clairance rénale et non rénale de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48% et 35% respectivement. On observe, également, une augmentation de la t1/2 vie terminale de 156% (P &lt;.01) et de 86% SSC de la digoxine.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4</w:t>
      </w:r>
    </w:p>
    <w:p w:rsidR="00834CC8" w:rsidRDefault="00834CC8" w:rsidP="00834CC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4 mg po +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200 mg BID x 14 jours (donné avant et après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),  étude chez des sujets sains.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Les aut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eur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 concluent que les  paramètres pharmacocinétiques de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y compris de la clairance rénale, n'ont pas été affectés par le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Dans l'ensemble, 75% (9/12) des sujets avaient des concentrations plus élevées de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après l'administration de ritonavir.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5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834CC8" w:rsidRDefault="00834CC8" w:rsidP="00834CC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4 mg po en dose unique +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600mg/100mg BID), étude chez 8 sujets sains.  L'administration concomitante a augmenté le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Cmax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la SSC de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 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15% et 36%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respectivement.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6</w:t>
      </w:r>
    </w:p>
    <w:p w:rsidR="00834CC8" w:rsidRPr="00834CC8" w:rsidRDefault="00834CC8" w:rsidP="00834CC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littérature rapporte un cas d'intoxication avec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.  Un homme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séropositif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51 ans avec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25 mg qui a expérimenté des symptômes 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 xml:space="preserve">de toxicité à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(nausées, vomissements et perte de poi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ds)  et un flutter auriculaire 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après avoir débuté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(800 mg),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(100 mg),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dolut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gravir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(50 mg)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et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(25 mg). Après un changement de la thérapie antirétrovirale pour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favirenz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abacavir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et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dolut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gravir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, les symptômes ont disparu et l'ECG est revenu à la normal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  <w:r w:rsidRPr="00834CC8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7</w:t>
      </w:r>
    </w:p>
    <w:p w:rsidR="0095523C" w:rsidRDefault="0095523C" w:rsidP="0095523C">
      <w:pPr>
        <w:widowControl w:val="0"/>
        <w:ind w:left="36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834CC8" w:rsidRPr="0095523C" w:rsidRDefault="00834CC8" w:rsidP="0095523C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95523C">
        <w:rPr>
          <w:rFonts w:ascii="Century Gothic" w:eastAsia="Century Gothic" w:hAnsi="Century Gothic" w:cs="Century Gothic"/>
          <w:b/>
          <w:sz w:val="22"/>
          <w:szCs w:val="22"/>
        </w:rPr>
        <w:t xml:space="preserve">Pour de plus amples informations, voici des études évaluant les interactions entre le </w:t>
      </w:r>
      <w:proofErr w:type="spellStart"/>
      <w:r w:rsidRPr="0095523C"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  <w:r w:rsidRPr="0095523C">
        <w:rPr>
          <w:rFonts w:ascii="Century Gothic" w:eastAsia="Century Gothic" w:hAnsi="Century Gothic" w:cs="Century Gothic"/>
          <w:b/>
          <w:sz w:val="22"/>
          <w:szCs w:val="22"/>
        </w:rPr>
        <w:t xml:space="preserve"> et la </w:t>
      </w:r>
      <w:proofErr w:type="spellStart"/>
      <w:r w:rsidRPr="0095523C">
        <w:rPr>
          <w:rFonts w:ascii="Century Gothic" w:eastAsia="Century Gothic" w:hAnsi="Century Gothic" w:cs="Century Gothic"/>
          <w:b/>
          <w:sz w:val="22"/>
          <w:szCs w:val="22"/>
        </w:rPr>
        <w:t>digoxine</w:t>
      </w:r>
      <w:proofErr w:type="spellEnd"/>
      <w:r w:rsidRPr="0095523C">
        <w:rPr>
          <w:rFonts w:ascii="Century Gothic" w:eastAsia="Century Gothic" w:hAnsi="Century Gothic" w:cs="Century Gothic"/>
          <w:b/>
          <w:sz w:val="22"/>
          <w:szCs w:val="22"/>
        </w:rPr>
        <w:t xml:space="preserve"> :</w:t>
      </w:r>
    </w:p>
    <w:p w:rsidR="00834CC8" w:rsidRPr="00834CC8" w:rsidRDefault="00834CC8" w:rsidP="009552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9876AD" w:rsidRPr="001D3073" w:rsidRDefault="00834CC8" w:rsidP="00834CC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</w:pP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0.5 mg 1 dose IV +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elvitégravir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150/150 mg, étude chez 22 sujets sains qui démontre une augmentation de 41% et 8% de la </w:t>
      </w:r>
      <w:proofErr w:type="spellStart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>Cmax</w:t>
      </w:r>
      <w:proofErr w:type="spellEnd"/>
      <w:r w:rsidRPr="00834CC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SSC respectivement.</w:t>
      </w:r>
      <w:r w:rsidRPr="001D3073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3</w:t>
      </w:r>
      <w:r w:rsidRPr="001D3073"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 xml:space="preserve"> </w:t>
      </w:r>
    </w:p>
    <w:p w:rsidR="00606154" w:rsidRPr="00834CC8" w:rsidRDefault="00606154" w:rsidP="00834CC8">
      <w:pPr>
        <w:shd w:val="clear" w:color="auto" w:fill="FFFFFF"/>
        <w:textAlignment w:val="baseline"/>
        <w:rPr>
          <w:rFonts w:ascii="Arial" w:eastAsia="Times New Roman" w:hAnsi="Arial" w:cs="Arial"/>
          <w:color w:val="666666"/>
        </w:rPr>
      </w:pPr>
    </w:p>
    <w:p w:rsidR="00FC7376" w:rsidRPr="00685C7C" w:rsidRDefault="00FC7376" w:rsidP="00FC737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CFE2F3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o32tcv24dryv" w:colFirst="0" w:colLast="0"/>
      <w:bookmarkEnd w:id="0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Options thérapeutiques possibles : </w:t>
      </w:r>
    </w:p>
    <w:p w:rsidR="001A3FF6" w:rsidRDefault="00FF2E05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Si la </w:t>
      </w:r>
      <w:r w:rsidR="007828A4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 w:rsidR="007828A4">
        <w:rPr>
          <w:rFonts w:ascii="Century Gothic" w:eastAsia="Century Gothic" w:hAnsi="Century Gothic" w:cs="Century Gothic"/>
          <w:i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est ajoutée à une thérapie </w:t>
      </w:r>
      <w:r w:rsidR="00685C7C">
        <w:rPr>
          <w:rFonts w:ascii="Century Gothic" w:eastAsia="Century Gothic" w:hAnsi="Century Gothic" w:cs="Century Gothic"/>
          <w:i/>
          <w:sz w:val="22"/>
          <w:szCs w:val="22"/>
        </w:rPr>
        <w:t>anti-</w:t>
      </w:r>
      <w:r w:rsidR="00834CC8">
        <w:rPr>
          <w:rFonts w:ascii="Century Gothic" w:eastAsia="Century Gothic" w:hAnsi="Century Gothic" w:cs="Century Gothic"/>
          <w:i/>
          <w:sz w:val="22"/>
          <w:szCs w:val="22"/>
        </w:rPr>
        <w:t>VIH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déjà existante.</w:t>
      </w:r>
    </w:p>
    <w:p w:rsidR="001A3FF6" w:rsidRDefault="00FF2E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</w:t>
      </w:r>
      <w:r w:rsidR="00685C7C">
        <w:rPr>
          <w:rFonts w:ascii="Century Gothic" w:eastAsia="Century Gothic" w:hAnsi="Century Gothic" w:cs="Century Gothic"/>
          <w:sz w:val="22"/>
          <w:szCs w:val="22"/>
        </w:rPr>
        <w:t>l’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association </w:t>
      </w:r>
      <w:r w:rsidR="00685C7C">
        <w:rPr>
          <w:rFonts w:ascii="Century Gothic" w:eastAsia="Century Gothic" w:hAnsi="Century Gothic" w:cs="Century Gothic"/>
          <w:sz w:val="22"/>
          <w:szCs w:val="22"/>
        </w:rPr>
        <w:t xml:space="preserve">est </w:t>
      </w:r>
      <w:r>
        <w:rPr>
          <w:rFonts w:ascii="Century Gothic" w:eastAsia="Century Gothic" w:hAnsi="Century Gothic" w:cs="Century Gothic"/>
          <w:sz w:val="22"/>
          <w:szCs w:val="22"/>
        </w:rPr>
        <w:t>nécessaire, 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ébuter la </w:t>
      </w:r>
      <w:proofErr w:type="spellStart"/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avec une petite dose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puis augmenter graduellement selon l</w:t>
      </w:r>
      <w:r>
        <w:rPr>
          <w:rFonts w:ascii="Century Gothic" w:eastAsia="Century Gothic" w:hAnsi="Century Gothic" w:cs="Century Gothic"/>
          <w:sz w:val="22"/>
          <w:szCs w:val="22"/>
        </w:rPr>
        <w:t>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efficacité et la tolérance.</w:t>
      </w:r>
    </w:p>
    <w:p w:rsidR="001A3FF6" w:rsidRDefault="001A3F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CFE2F3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Si le patient est déjà sous </w:t>
      </w:r>
      <w:proofErr w:type="spellStart"/>
      <w:r w:rsidR="007828A4">
        <w:rPr>
          <w:rFonts w:ascii="Century Gothic" w:eastAsia="Century Gothic" w:hAnsi="Century Gothic" w:cs="Century Gothic"/>
          <w:i/>
          <w:sz w:val="22"/>
          <w:szCs w:val="22"/>
        </w:rPr>
        <w:t>digoxine</w:t>
      </w:r>
      <w:proofErr w:type="spellEnd"/>
      <w:r w:rsidR="007828A4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et que la thérapie </w:t>
      </w:r>
      <w:r w:rsidR="007828A4">
        <w:rPr>
          <w:rFonts w:ascii="Century Gothic" w:eastAsia="Century Gothic" w:hAnsi="Century Gothic" w:cs="Century Gothic"/>
          <w:i/>
          <w:sz w:val="22"/>
          <w:szCs w:val="22"/>
        </w:rPr>
        <w:t>anti-</w:t>
      </w:r>
      <w:r w:rsidR="00834CC8">
        <w:rPr>
          <w:rFonts w:ascii="Century Gothic" w:eastAsia="Century Gothic" w:hAnsi="Century Gothic" w:cs="Century Gothic"/>
          <w:i/>
          <w:sz w:val="22"/>
          <w:szCs w:val="22"/>
        </w:rPr>
        <w:t>VIH</w:t>
      </w:r>
      <w:r w:rsidR="007828A4">
        <w:rPr>
          <w:rFonts w:ascii="Century Gothic" w:eastAsia="Century Gothic" w:hAnsi="Century Gothic" w:cs="Century Gothic"/>
          <w:i/>
          <w:sz w:val="22"/>
          <w:szCs w:val="22"/>
        </w:rPr>
        <w:t xml:space="preserve"> est débuté.</w:t>
      </w:r>
    </w:p>
    <w:p w:rsidR="001A3FF6" w:rsidRDefault="00FF2E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</w:t>
      </w:r>
      <w:r w:rsidR="00685C7C">
        <w:rPr>
          <w:rFonts w:ascii="Century Gothic" w:eastAsia="Century Gothic" w:hAnsi="Century Gothic" w:cs="Century Gothic"/>
          <w:sz w:val="22"/>
          <w:szCs w:val="22"/>
        </w:rPr>
        <w:t>l’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association </w:t>
      </w:r>
      <w:r w:rsidR="00685C7C">
        <w:rPr>
          <w:rFonts w:ascii="Century Gothic" w:eastAsia="Century Gothic" w:hAnsi="Century Gothic" w:cs="Century Gothic"/>
          <w:sz w:val="22"/>
          <w:szCs w:val="22"/>
        </w:rPr>
        <w:t xml:space="preserve">est </w:t>
      </w:r>
      <w:r>
        <w:rPr>
          <w:rFonts w:ascii="Century Gothic" w:eastAsia="Century Gothic" w:hAnsi="Century Gothic" w:cs="Century Gothic"/>
          <w:sz w:val="22"/>
          <w:szCs w:val="22"/>
        </w:rPr>
        <w:t>nécessaire, 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iminuer la dose actuelle de </w:t>
      </w:r>
      <w:proofErr w:type="spellStart"/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puis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augmenter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graduellement la dose selon </w:t>
      </w:r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</w:t>
      </w:r>
      <w:proofErr w:type="spellStart"/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>digoxinémie</w:t>
      </w:r>
      <w:proofErr w:type="spellEnd"/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</w:t>
      </w:r>
      <w:r>
        <w:rPr>
          <w:rFonts w:ascii="Century Gothic" w:eastAsia="Century Gothic" w:hAnsi="Century Gothic" w:cs="Century Gothic"/>
          <w:sz w:val="22"/>
          <w:szCs w:val="22"/>
        </w:rPr>
        <w:t>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efficacité et la tolérance.</w:t>
      </w:r>
    </w:p>
    <w:p w:rsidR="001A3FF6" w:rsidRDefault="00FF2E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Conserver la dose actuelle et exercer un suivi étroit des eff</w:t>
      </w:r>
      <w:r w:rsidR="007828A4">
        <w:rPr>
          <w:rFonts w:ascii="Century Gothic" w:eastAsia="Century Gothic" w:hAnsi="Century Gothic" w:cs="Century Gothic"/>
          <w:sz w:val="22"/>
          <w:szCs w:val="22"/>
        </w:rPr>
        <w:t xml:space="preserve">ets indésirables associés à la </w:t>
      </w:r>
      <w:proofErr w:type="spellStart"/>
      <w:r w:rsidR="007828A4">
        <w:rPr>
          <w:rFonts w:ascii="Century Gothic" w:eastAsia="Century Gothic" w:hAnsi="Century Gothic" w:cs="Century Gothic"/>
          <w:sz w:val="22"/>
          <w:szCs w:val="22"/>
        </w:rPr>
        <w:t>digoxine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1A3FF6" w:rsidRDefault="001A3F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CFE2F3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Patient actuellement sous traitement avec cette association et </w:t>
      </w:r>
      <w:proofErr w:type="gramStart"/>
      <w:r>
        <w:rPr>
          <w:rFonts w:ascii="Century Gothic" w:eastAsia="Century Gothic" w:hAnsi="Century Gothic" w:cs="Century Gothic"/>
          <w:i/>
          <w:sz w:val="22"/>
          <w:szCs w:val="22"/>
        </w:rPr>
        <w:t>la</w:t>
      </w:r>
      <w:proofErr w:type="gram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tolérant.</w:t>
      </w:r>
    </w:p>
    <w:p w:rsidR="001A3FF6" w:rsidRPr="00A2628A" w:rsidRDefault="00FF2E05" w:rsidP="00A262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onserver cette combinaison et exercer un suivi étroit des effets indésirab</w:t>
      </w:r>
      <w:r w:rsidR="007828A4">
        <w:rPr>
          <w:rFonts w:ascii="Century Gothic" w:eastAsia="Century Gothic" w:hAnsi="Century Gothic" w:cs="Century Gothic"/>
          <w:color w:val="000000"/>
          <w:sz w:val="22"/>
          <w:szCs w:val="22"/>
        </w:rPr>
        <w:t>les pouvant survenir.</w:t>
      </w:r>
    </w:p>
    <w:p w:rsidR="001A3FF6" w:rsidRDefault="00834C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 ECG de contrôle pourrait être </w:t>
      </w:r>
      <w:r w:rsidR="00FF2E05">
        <w:rPr>
          <w:rFonts w:ascii="Century Gothic" w:eastAsia="Century Gothic" w:hAnsi="Century Gothic" w:cs="Century Gothic"/>
          <w:sz w:val="22"/>
          <w:szCs w:val="22"/>
        </w:rPr>
        <w:t>fait, particulièrement chez les patients possédant un ri</w:t>
      </w:r>
      <w:r w:rsidR="00685C7C">
        <w:rPr>
          <w:rFonts w:ascii="Century Gothic" w:eastAsia="Century Gothic" w:hAnsi="Century Gothic" w:cs="Century Gothic"/>
          <w:sz w:val="22"/>
          <w:szCs w:val="22"/>
        </w:rPr>
        <w:t>sque de désordre électrolytique</w:t>
      </w:r>
      <w:r w:rsidR="00FF2E05">
        <w:rPr>
          <w:rFonts w:ascii="Century Gothic" w:eastAsia="Century Gothic" w:hAnsi="Century Gothic" w:cs="Century Gothic"/>
          <w:sz w:val="22"/>
          <w:szCs w:val="22"/>
        </w:rPr>
        <w:t xml:space="preserve"> ou d’autres facteurs de risque d’allongement de l’intervalle QT.  S'assurer de corriger les désordres </w:t>
      </w:r>
      <w:proofErr w:type="spellStart"/>
      <w:r w:rsidR="00FF2E05">
        <w:rPr>
          <w:rFonts w:ascii="Century Gothic" w:eastAsia="Century Gothic" w:hAnsi="Century Gothic" w:cs="Century Gothic"/>
          <w:sz w:val="22"/>
          <w:szCs w:val="22"/>
        </w:rPr>
        <w:t>électro</w:t>
      </w:r>
      <w:r>
        <w:rPr>
          <w:rFonts w:ascii="Century Gothic" w:eastAsia="Century Gothic" w:hAnsi="Century Gothic" w:cs="Century Gothic"/>
          <w:sz w:val="22"/>
          <w:szCs w:val="22"/>
        </w:rPr>
        <w:t>-</w:t>
      </w:r>
      <w:r w:rsidR="00FF2E05">
        <w:rPr>
          <w:rFonts w:ascii="Century Gothic" w:eastAsia="Century Gothic" w:hAnsi="Century Gothic" w:cs="Century Gothic"/>
          <w:sz w:val="22"/>
          <w:szCs w:val="22"/>
        </w:rPr>
        <w:t>lytiques</w:t>
      </w:r>
      <w:proofErr w:type="spellEnd"/>
      <w:r w:rsidR="00FF2E05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95523C" w:rsidRPr="0023557B" w:rsidRDefault="00FF2E05">
      <w:pPr>
        <w:jc w:val="both"/>
        <w:rPr>
          <w:rFonts w:ascii="Arial" w:eastAsia="Century Gothic" w:hAnsi="Arial" w:cs="Arial"/>
          <w:b/>
        </w:rPr>
      </w:pPr>
      <w:r w:rsidRPr="0023557B">
        <w:rPr>
          <w:rFonts w:ascii="Arial" w:eastAsia="Century Gothic" w:hAnsi="Arial" w:cs="Arial"/>
          <w:b/>
        </w:rPr>
        <w:t xml:space="preserve">Suivi : </w:t>
      </w:r>
    </w:p>
    <w:p w:rsidR="00101891" w:rsidRPr="00101891" w:rsidRDefault="0095523C" w:rsidP="009552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hAnsi="Arial" w:cs="Arial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Surveiller </w:t>
      </w:r>
      <w:r w:rsidRPr="0095523C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les effets indésirables de la </w:t>
      </w:r>
      <w:proofErr w:type="spellStart"/>
      <w:r w:rsidRPr="0095523C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95523C">
        <w:rPr>
          <w:rFonts w:ascii="Century Gothic" w:eastAsia="Century Gothic" w:hAnsi="Century Gothic" w:cs="Century Gothic"/>
          <w:color w:val="000000"/>
          <w:sz w:val="22"/>
          <w:szCs w:val="22"/>
        </w:rPr>
        <w:t>*. Selon le jugement du clinicien, un ECG et un bilan  électrolytique.</w:t>
      </w:r>
    </w:p>
    <w:p w:rsidR="00101891" w:rsidRDefault="00101891" w:rsidP="0010189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1A3FF6" w:rsidRPr="0023557B" w:rsidRDefault="00101891" w:rsidP="0010189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hAnsi="Arial" w:cs="Arial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* Effets 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gastro-intestinaux (malaises abdominaux, nausées/vomissements, diarrhée, anorexie, dyspepsie), effets sur le système nerveux central, troubles de la vision, fatigue, céphalées, bradycardie et troubles du rythme.</w:t>
      </w:r>
      <w:r w:rsidR="0095523C" w:rsidRPr="0023557B">
        <w:rPr>
          <w:rFonts w:ascii="Arial" w:eastAsia="Century Gothic" w:hAnsi="Arial" w:cs="Arial"/>
          <w:color w:val="000000"/>
        </w:rPr>
        <w:t xml:space="preserve"> </w:t>
      </w:r>
    </w:p>
    <w:p w:rsidR="00685C7C" w:rsidRPr="0023557B" w:rsidRDefault="00685C7C" w:rsidP="00685C7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hAnsi="Arial" w:cs="Arial"/>
          <w:color w:val="000000"/>
        </w:rPr>
      </w:pPr>
    </w:p>
    <w:p w:rsidR="001A3FF6" w:rsidRPr="0023557B" w:rsidRDefault="001A3FF6">
      <w:pPr>
        <w:jc w:val="both"/>
        <w:rPr>
          <w:rFonts w:ascii="Arial" w:eastAsia="Century Gothic" w:hAnsi="Arial" w:cs="Arial"/>
          <w:shd w:val="clear" w:color="auto" w:fill="CFE2F3"/>
        </w:rPr>
      </w:pPr>
    </w:p>
    <w:p w:rsidR="001A3FF6" w:rsidRDefault="001A3FF6">
      <w:pPr>
        <w:jc w:val="both"/>
        <w:rPr>
          <w:rFonts w:ascii="Arial" w:eastAsia="Century Gothic" w:hAnsi="Arial" w:cs="Arial"/>
          <w:b/>
        </w:rPr>
      </w:pPr>
    </w:p>
    <w:p w:rsidR="00101891" w:rsidRPr="0023557B" w:rsidRDefault="00101891">
      <w:pPr>
        <w:jc w:val="both"/>
        <w:rPr>
          <w:rFonts w:ascii="Arial" w:eastAsia="Century Gothic" w:hAnsi="Arial" w:cs="Arial"/>
          <w:b/>
        </w:rPr>
      </w:pPr>
    </w:p>
    <w:p w:rsidR="001A3FF6" w:rsidRDefault="001A3FF6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1A3FF6">
        <w:tc>
          <w:tcPr>
            <w:tcW w:w="9396" w:type="dxa"/>
          </w:tcPr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Date : _____/_____/_____</w:t>
            </w: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1A3FF6">
        <w:tc>
          <w:tcPr>
            <w:tcW w:w="9396" w:type="dxa"/>
          </w:tcPr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1A3FF6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pratique: __________    Signature : __________</w:t>
            </w: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1A3FF6" w:rsidRDefault="00FF2E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 : ________________</w:t>
            </w:r>
          </w:p>
        </w:tc>
      </w:tr>
    </w:tbl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9032A0" w:rsidRDefault="009032A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1A3FF6" w:rsidRDefault="00FF2E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 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1A3FF6" w:rsidRDefault="001A3FF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A3FF6" w:rsidRDefault="00FF2E05">
      <w:pPr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br w:type="page"/>
      </w:r>
    </w:p>
    <w:p w:rsidR="00101891" w:rsidRDefault="00101891" w:rsidP="0010189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101891" w:rsidRDefault="00101891" w:rsidP="0010189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01891" w:rsidRPr="00101891" w:rsidRDefault="00101891" w:rsidP="00101891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 :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AbbVie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, Québec, Canada, 27 novembre 2017.</w:t>
      </w:r>
    </w:p>
    <w:p w:rsidR="00101891" w:rsidRPr="00101891" w:rsidRDefault="00101891" w:rsidP="00101891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Digoxine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. Sandoz</w:t>
      </w:r>
      <w:r w:rsidR="004D2F16"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Québec,</w:t>
      </w:r>
      <w:r w:rsidR="004D2F16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Canada, </w:t>
      </w:r>
      <w:r w:rsidR="004D2F16">
        <w:rPr>
          <w:rFonts w:ascii="Century Gothic" w:eastAsia="Century Gothic" w:hAnsi="Century Gothic" w:cs="Century Gothic"/>
          <w:color w:val="000000"/>
          <w:sz w:val="22"/>
          <w:szCs w:val="22"/>
        </w:rPr>
        <w:t>21 o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ctobre 2016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101891" w:rsidRPr="00101891" w:rsidRDefault="00101891" w:rsidP="00101891">
      <w:pPr>
        <w:pStyle w:val="Paragraphedeliste"/>
        <w:numPr>
          <w:ilvl w:val="0"/>
          <w:numId w:val="12"/>
        </w:numPr>
        <w:ind w:left="709" w:hanging="425"/>
        <w:rPr>
          <w:rFonts w:ascii="Century Gothic" w:eastAsia="Century Gothic" w:hAnsi="Century Gothic" w:cs="Century Gothic"/>
          <w:sz w:val="22"/>
          <w:szCs w:val="22"/>
        </w:rPr>
      </w:pP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Elvitegravir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alaf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é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namide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br/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(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Genvoya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Gilead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, Ontario, Canada, 17 septembre 2018.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101891" w:rsidRPr="00101891" w:rsidRDefault="00101891" w:rsidP="00101891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101891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Ding R,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Tayrouz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Y, Riedel KD, et al. Substantial pharmacokinetic interaction between digoxin and ritonavir in healthy volunteers. </w:t>
      </w:r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Clin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Pharmacol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>Ther</w:t>
      </w:r>
      <w:proofErr w:type="spellEnd"/>
      <w:r w:rsidRPr="0010189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2004; 76(1):73-84.</w:t>
      </w:r>
    </w:p>
    <w:p w:rsidR="004D2F16" w:rsidRPr="004D2F16" w:rsidRDefault="004D2F16" w:rsidP="004D2F16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Penzak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S, Shen J, Alfaro R,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Remaley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A, and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Falloon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Ritonavir decreases the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nonrenal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clearance of digoxin in healthy volunteers with known MDR1 genotypes.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</w:rPr>
        <w:t>Ther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Drug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</w:rPr>
        <w:t>Monit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</w:rPr>
        <w:t>. 2004 Jun;26(3):322-30.</w:t>
      </w:r>
    </w:p>
    <w:p w:rsidR="001A3FF6" w:rsidRPr="004D2F16" w:rsidRDefault="004D2F16" w:rsidP="004D2F16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Yoganathan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K, Roberts B,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Heatley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M. Life-threatening digoxin toxicity due to drug-drug interactions in an HIV-positive man</w:t>
      </w:r>
      <w:proofErr w:type="gram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..</w:t>
      </w:r>
      <w:proofErr w:type="gram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Int</w:t>
      </w:r>
      <w:proofErr w:type="spellEnd"/>
      <w:r w:rsidRPr="004D2F1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J STD AIDS, 2017, 18(3): 297-301.</w:t>
      </w:r>
    </w:p>
    <w:p w:rsidR="004D2F16" w:rsidRDefault="004D2F16" w:rsidP="004D2F16">
      <w:pPr>
        <w:pStyle w:val="Paragraphedeliste"/>
        <w:numPr>
          <w:ilvl w:val="0"/>
          <w:numId w:val="12"/>
        </w:numPr>
        <w:ind w:left="709" w:hanging="425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4D2F16">
        <w:rPr>
          <w:rFonts w:ascii="Century Gothic" w:eastAsia="Century Gothic" w:hAnsi="Century Gothic" w:cs="Century Gothic"/>
          <w:sz w:val="22"/>
          <w:szCs w:val="22"/>
        </w:rPr>
        <w:t xml:space="preserve">Monographie : </w:t>
      </w:r>
      <w:proofErr w:type="spellStart"/>
      <w:r w:rsidRPr="004D2F16"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 w:rsidRPr="004D2F16"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 w:rsidRPr="004D2F16"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 w:rsidRPr="004D2F16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4D2F16">
        <w:rPr>
          <w:rFonts w:ascii="Century Gothic" w:eastAsia="Century Gothic" w:hAnsi="Century Gothic" w:cs="Century Gothic"/>
          <w:sz w:val="22"/>
          <w:szCs w:val="22"/>
        </w:rPr>
        <w:t>Prezcobix</w:t>
      </w:r>
      <w:proofErr w:type="spellEnd"/>
      <w:r w:rsidRPr="004D2F16">
        <w:rPr>
          <w:rFonts w:ascii="Century Gothic" w:eastAsia="Century Gothic" w:hAnsi="Century Gothic" w:cs="Century Gothic"/>
          <w:sz w:val="22"/>
          <w:szCs w:val="22"/>
        </w:rPr>
        <w:t>), Janssen, Ontario, Canada, 23 mai 2018.</w:t>
      </w:r>
    </w:p>
    <w:p w:rsidR="004D2F16" w:rsidRPr="004D2F16" w:rsidRDefault="004D2F16" w:rsidP="004D2F16">
      <w:pPr>
        <w:pStyle w:val="Paragraphedeliste"/>
        <w:numPr>
          <w:ilvl w:val="0"/>
          <w:numId w:val="12"/>
        </w:numPr>
        <w:ind w:left="709" w:hanging="425"/>
        <w:rPr>
          <w:rFonts w:ascii="Century Gothic" w:eastAsia="Century Gothic" w:hAnsi="Century Gothic" w:cs="Century Gothic"/>
          <w:sz w:val="22"/>
          <w:szCs w:val="22"/>
        </w:rPr>
      </w:pPr>
      <w:r w:rsidRPr="004D2F16">
        <w:rPr>
          <w:rFonts w:ascii="Century Gothic" w:eastAsia="Century Gothic" w:hAnsi="Century Gothic" w:cs="Century Gothic"/>
          <w:sz w:val="22"/>
          <w:szCs w:val="22"/>
        </w:rPr>
        <w:t xml:space="preserve">Guide thérapeutique VIH. [En ligne]. Disponible : </w:t>
      </w:r>
      <w:hyperlink r:id="rId9" w:history="1">
        <w:r w:rsidRPr="00DE0081">
          <w:rPr>
            <w:rStyle w:val="Lienhypertexte"/>
            <w:rFonts w:ascii="Century Gothic" w:eastAsia="Century Gothic" w:hAnsi="Century Gothic" w:cs="Century Gothic"/>
            <w:sz w:val="22"/>
            <w:szCs w:val="22"/>
          </w:rPr>
          <w:t>http://www.guidetherapeutiquevih.com</w:t>
        </w:r>
      </w:hyperlink>
    </w:p>
    <w:p w:rsidR="001A3FF6" w:rsidRPr="004D2F16" w:rsidRDefault="001A3FF6">
      <w:pPr>
        <w:jc w:val="both"/>
        <w:rPr>
          <w:rFonts w:ascii="Arial" w:eastAsia="Century Gothic" w:hAnsi="Arial" w:cs="Arial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Arial" w:eastAsia="Century Gothic" w:hAnsi="Arial" w:cs="Arial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Arial" w:eastAsia="Century Gothic" w:hAnsi="Arial" w:cs="Arial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shd w:val="clear" w:color="auto" w:fill="CFE2F3"/>
        </w:rPr>
      </w:pPr>
    </w:p>
    <w:p w:rsidR="001A3FF6" w:rsidRPr="004D2F16" w:rsidRDefault="001A3FF6">
      <w:pPr>
        <w:jc w:val="both"/>
        <w:rPr>
          <w:rFonts w:ascii="inherit" w:eastAsia="inherit" w:hAnsi="inherit" w:cs="inherit"/>
          <w:sz w:val="14"/>
          <w:szCs w:val="14"/>
          <w:shd w:val="clear" w:color="auto" w:fill="CFE2F3"/>
        </w:rPr>
      </w:pPr>
      <w:bookmarkStart w:id="1" w:name="_GoBack"/>
      <w:bookmarkEnd w:id="1"/>
    </w:p>
    <w:sectPr w:rsidR="001A3FF6" w:rsidRPr="004D2F16">
      <w:foot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01" w:rsidRDefault="00F70501">
      <w:r>
        <w:separator/>
      </w:r>
    </w:p>
  </w:endnote>
  <w:endnote w:type="continuationSeparator" w:id="0">
    <w:p w:rsidR="00F70501" w:rsidRDefault="00F7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0C" w:rsidRPr="002D180C" w:rsidRDefault="002D180C" w:rsidP="002D18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t xml:space="preserve">                                                                                  Avril  </w:t>
    </w:r>
    <w:r>
      <w:rPr>
        <w:color w:val="000000"/>
      </w:rPr>
      <w:t xml:space="preserve"> 2019</w:t>
    </w:r>
  </w:p>
  <w:p w:rsidR="001A3FF6" w:rsidRDefault="001A3F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01" w:rsidRDefault="00F70501">
      <w:r>
        <w:separator/>
      </w:r>
    </w:p>
  </w:footnote>
  <w:footnote w:type="continuationSeparator" w:id="0">
    <w:p w:rsidR="00F70501" w:rsidRDefault="00F7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238"/>
    <w:multiLevelType w:val="multilevel"/>
    <w:tmpl w:val="1172976E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453D61"/>
    <w:multiLevelType w:val="multilevel"/>
    <w:tmpl w:val="0B5070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662B9"/>
    <w:multiLevelType w:val="multilevel"/>
    <w:tmpl w:val="57B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83091"/>
    <w:multiLevelType w:val="multilevel"/>
    <w:tmpl w:val="4BDA7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53EEC"/>
    <w:multiLevelType w:val="hybridMultilevel"/>
    <w:tmpl w:val="5CFA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C67"/>
    <w:multiLevelType w:val="hybridMultilevel"/>
    <w:tmpl w:val="03A87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8C2DE1"/>
    <w:multiLevelType w:val="multilevel"/>
    <w:tmpl w:val="A9A0EC2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A4554AA"/>
    <w:multiLevelType w:val="hybridMultilevel"/>
    <w:tmpl w:val="7720935E"/>
    <w:lvl w:ilvl="0" w:tplc="0C0C000F">
      <w:start w:val="1"/>
      <w:numFmt w:val="decimal"/>
      <w:lvlText w:val="%1.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985374"/>
    <w:multiLevelType w:val="multilevel"/>
    <w:tmpl w:val="A8566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9C1F73"/>
    <w:multiLevelType w:val="multilevel"/>
    <w:tmpl w:val="838CF1B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1C47AB"/>
    <w:multiLevelType w:val="multilevel"/>
    <w:tmpl w:val="4BDA7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2F13"/>
    <w:multiLevelType w:val="multilevel"/>
    <w:tmpl w:val="47B6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F6"/>
    <w:rsid w:val="00101891"/>
    <w:rsid w:val="001528EC"/>
    <w:rsid w:val="001A3FF6"/>
    <w:rsid w:val="001D3073"/>
    <w:rsid w:val="0023557B"/>
    <w:rsid w:val="002D180C"/>
    <w:rsid w:val="003355AF"/>
    <w:rsid w:val="004D2F16"/>
    <w:rsid w:val="00606154"/>
    <w:rsid w:val="00685C7C"/>
    <w:rsid w:val="00757FB7"/>
    <w:rsid w:val="007828A4"/>
    <w:rsid w:val="00834CC8"/>
    <w:rsid w:val="00897317"/>
    <w:rsid w:val="009032A0"/>
    <w:rsid w:val="0092204A"/>
    <w:rsid w:val="0095523C"/>
    <w:rsid w:val="009876AD"/>
    <w:rsid w:val="00A2628A"/>
    <w:rsid w:val="00A87052"/>
    <w:rsid w:val="00D458F6"/>
    <w:rsid w:val="00DC6378"/>
    <w:rsid w:val="00E9407D"/>
    <w:rsid w:val="00F70501"/>
    <w:rsid w:val="00FC7376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40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37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C637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C6378"/>
  </w:style>
  <w:style w:type="paragraph" w:styleId="Pieddepage">
    <w:name w:val="footer"/>
    <w:basedOn w:val="Normal"/>
    <w:link w:val="PieddepageCar"/>
    <w:uiPriority w:val="99"/>
    <w:unhideWhenUsed/>
    <w:rsid w:val="00DC637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378"/>
  </w:style>
  <w:style w:type="character" w:styleId="Accentuation">
    <w:name w:val="Emphasis"/>
    <w:basedOn w:val="Policepardfaut"/>
    <w:uiPriority w:val="20"/>
    <w:qFormat/>
    <w:rsid w:val="00FC7376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757F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8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40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37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C637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C6378"/>
  </w:style>
  <w:style w:type="paragraph" w:styleId="Pieddepage">
    <w:name w:val="footer"/>
    <w:basedOn w:val="Normal"/>
    <w:link w:val="PieddepageCar"/>
    <w:uiPriority w:val="99"/>
    <w:unhideWhenUsed/>
    <w:rsid w:val="00DC637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378"/>
  </w:style>
  <w:style w:type="character" w:styleId="Accentuation">
    <w:name w:val="Emphasis"/>
    <w:basedOn w:val="Policepardfaut"/>
    <w:uiPriority w:val="20"/>
    <w:qFormat/>
    <w:rsid w:val="00FC7376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757F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8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uidetherapeutiquevi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4F46-587A-465A-AAA4-408E44D1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Therrien Rachel</dc:creator>
  <cp:lastModifiedBy>Claude</cp:lastModifiedBy>
  <cp:revision>6</cp:revision>
  <dcterms:created xsi:type="dcterms:W3CDTF">2019-04-16T08:37:00Z</dcterms:created>
  <dcterms:modified xsi:type="dcterms:W3CDTF">2019-04-16T11:01:00Z</dcterms:modified>
</cp:coreProperties>
</file>