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70" w:rsidRDefault="00CD5A4A" w:rsidP="00FB3328">
      <w:pPr>
        <w:jc w:val="center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Opinion pharmaceutique</w:t>
      </w:r>
    </w:p>
    <w:p w:rsidR="00CD5A4A" w:rsidRPr="00FA6CB7" w:rsidRDefault="007D7670" w:rsidP="00FB3328">
      <w:pPr>
        <w:jc w:val="center"/>
        <w:rPr>
          <w:rFonts w:eastAsia="Century Gothic"/>
          <w:lang w:val="fr-CA"/>
        </w:rPr>
      </w:pPr>
      <w:r w:rsidRPr="007D7670">
        <w:rPr>
          <w:rFonts w:eastAsia="Century Gothic"/>
          <w:b/>
          <w:lang w:val="fr-CA"/>
        </w:rPr>
        <w:t xml:space="preserve">Interaction entre les </w:t>
      </w:r>
      <w:r w:rsidR="007C320F" w:rsidRPr="007C320F">
        <w:rPr>
          <w:rFonts w:eastAsia="Century Gothic"/>
          <w:b/>
          <w:lang w:val="fr-CA"/>
        </w:rPr>
        <w:t>analgésiques</w:t>
      </w:r>
      <w:r w:rsidRPr="007D7670">
        <w:rPr>
          <w:rFonts w:eastAsia="Century Gothic"/>
          <w:b/>
          <w:lang w:val="fr-CA"/>
        </w:rPr>
        <w:t xml:space="preserve"> et les antiviraux contre l’hépatite C (anti-VHC)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A974BF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</w:p>
    <w:p w:rsidR="00D05073" w:rsidRPr="00FB3328" w:rsidRDefault="007E127B" w:rsidP="00567809">
      <w:pPr>
        <w:ind w:left="720"/>
        <w:rPr>
          <w:color w:val="000000"/>
          <w:lang w:val="fr-CA"/>
        </w:rPr>
      </w:pPr>
      <w:r w:rsidRPr="007E127B">
        <w:rPr>
          <w:b/>
          <w:lang w:val="fr-CA"/>
        </w:rPr>
        <w:t>Glécaprévir/Pibrentasvir (Maviret)</w:t>
      </w:r>
      <w:r w:rsidR="00567809">
        <w:rPr>
          <w:b/>
          <w:lang w:val="fr-CA"/>
        </w:rPr>
        <w:t xml:space="preserve"> </w:t>
      </w:r>
      <w:r w:rsidR="00B93894">
        <w:rPr>
          <w:color w:val="000000"/>
          <w:lang w:val="fr-CA"/>
        </w:rPr>
        <w:t xml:space="preserve">  </w:t>
      </w:r>
      <w:r w:rsidR="00A32F36">
        <w:rPr>
          <w:color w:val="000000"/>
          <w:lang w:val="fr-CA"/>
        </w:rPr>
        <w:t xml:space="preserve"> </w:t>
      </w:r>
      <w:r w:rsidR="00FB3328">
        <w:rPr>
          <w:color w:val="000000"/>
          <w:lang w:val="fr-CA"/>
        </w:rPr>
        <w:t>et</w:t>
      </w:r>
      <w:r w:rsidR="00AF581A">
        <w:rPr>
          <w:color w:val="000000"/>
          <w:lang w:val="fr-CA"/>
        </w:rPr>
        <w:t xml:space="preserve">   </w:t>
      </w:r>
      <w:r w:rsidR="00744FF3">
        <w:rPr>
          <w:color w:val="000000"/>
          <w:lang w:val="fr-CA"/>
        </w:rPr>
        <w:t xml:space="preserve"> </w:t>
      </w:r>
      <w:r w:rsidR="00EF3300">
        <w:rPr>
          <w:rFonts w:eastAsia="Century Gothic"/>
          <w:lang w:val="fr-CA"/>
        </w:rPr>
        <w:t>Oxycodone</w:t>
      </w:r>
      <w:r w:rsidR="00005C34" w:rsidRPr="00005C34">
        <w:rPr>
          <w:rFonts w:eastAsia="Century Gothic"/>
          <w:lang w:val="fr-CA"/>
        </w:rPr>
        <w:t xml:space="preserve"> 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596720" w:rsidRPr="00FA6CB7" w:rsidRDefault="00F57980" w:rsidP="00596720">
      <w:pPr>
        <w:spacing w:after="160" w:line="259" w:lineRule="auto"/>
        <w:jc w:val="both"/>
        <w:rPr>
          <w:rFonts w:eastAsia="Century Gothic"/>
          <w:b/>
          <w:color w:val="000000"/>
          <w:lang w:val="fr-CA"/>
        </w:rPr>
      </w:pPr>
      <w:r w:rsidRPr="00FA6CB7">
        <w:rPr>
          <w:rFonts w:eastAsia="Century Gothic"/>
          <w:b/>
          <w:color w:val="000000"/>
          <w:lang w:val="fr-CA"/>
        </w:rPr>
        <w:t xml:space="preserve">Mécanisme d’interaction : </w:t>
      </w:r>
      <w:r w:rsidR="007C320F" w:rsidRPr="007C320F">
        <w:rPr>
          <w:rFonts w:eastAsia="Century Gothic"/>
          <w:lang w:val="fr-CA"/>
        </w:rPr>
        <w:t xml:space="preserve">Une augmentation de la toxicité des analgésiques ci-haut </w:t>
      </w:r>
      <w:r w:rsidR="007D7670" w:rsidRPr="007D7670">
        <w:rPr>
          <w:rFonts w:eastAsia="Century Gothic"/>
          <w:lang w:val="fr-CA"/>
        </w:rPr>
        <w:t xml:space="preserve">peut survenir suivant l’administration concomitante avec les anti-VHC ci-haut mentionnés. </w:t>
      </w:r>
      <w:r w:rsidR="00EF3300">
        <w:rPr>
          <w:rFonts w:eastAsia="Century Gothic"/>
          <w:lang w:val="fr-CA"/>
        </w:rPr>
        <w:t>L’oxycodone</w:t>
      </w:r>
      <w:r w:rsidR="007C320F">
        <w:rPr>
          <w:rFonts w:eastAsia="Century Gothic"/>
          <w:lang w:val="fr-CA"/>
        </w:rPr>
        <w:t xml:space="preserve"> est un substrat du CYP 3A4</w:t>
      </w:r>
      <w:r w:rsidR="007D7670" w:rsidRPr="007D7670">
        <w:rPr>
          <w:rFonts w:eastAsia="Century Gothic"/>
          <w:lang w:val="fr-CA"/>
        </w:rPr>
        <w:t xml:space="preserve"> qui </w:t>
      </w:r>
      <w:r w:rsidR="007C320F">
        <w:rPr>
          <w:rFonts w:eastAsia="Century Gothic"/>
          <w:lang w:val="fr-CA"/>
        </w:rPr>
        <w:t>est inhibé</w:t>
      </w:r>
      <w:r w:rsidR="007D7670" w:rsidRPr="007D7670">
        <w:rPr>
          <w:rFonts w:eastAsia="Century Gothic"/>
          <w:lang w:val="fr-CA"/>
        </w:rPr>
        <w:t xml:space="preserve"> par </w:t>
      </w:r>
      <w:r w:rsidR="003A7D39">
        <w:rPr>
          <w:rFonts w:eastAsia="Century Gothic"/>
          <w:lang w:val="fr-CA"/>
        </w:rPr>
        <w:t>certains</w:t>
      </w:r>
      <w:r w:rsidR="007D7670" w:rsidRPr="007D7670">
        <w:rPr>
          <w:rFonts w:eastAsia="Century Gothic"/>
          <w:lang w:val="fr-CA"/>
        </w:rPr>
        <w:t xml:space="preserve"> anti-VHC.</w:t>
      </w:r>
      <w:r w:rsidR="008F6C04">
        <w:rPr>
          <w:rFonts w:eastAsia="Century Gothic"/>
          <w:lang w:val="fr-CA"/>
        </w:rPr>
        <w:t xml:space="preserve"> </w:t>
      </w:r>
    </w:p>
    <w:p w:rsidR="00A974BF" w:rsidRPr="005414A7" w:rsidRDefault="007E127B" w:rsidP="00A974BF">
      <w:pPr>
        <w:jc w:val="center"/>
        <w:rPr>
          <w:rFonts w:eastAsia="Century Gothic"/>
          <w:b/>
          <w:bCs/>
          <w:i/>
          <w:lang w:val="fr-CA"/>
        </w:rPr>
      </w:pPr>
      <w:bookmarkStart w:id="0" w:name="bmAutoText1"/>
      <w:r w:rsidRPr="007E127B">
        <w:rPr>
          <w:rFonts w:eastAsia="Century Gothic"/>
          <w:b/>
          <w:bCs/>
          <w:i/>
          <w:lang w:val="fr-CA"/>
        </w:rPr>
        <w:t>Glécaprévir/Pibrentasvir (Maviret)</w:t>
      </w:r>
      <w:r w:rsidR="00A974BF" w:rsidRPr="005414A7">
        <w:rPr>
          <w:rFonts w:eastAsia="Century Gothic"/>
          <w:i/>
          <w:lang w:val="fr-CA"/>
        </w:rPr>
        <w:t xml:space="preserve"> </w:t>
      </w:r>
      <w:r w:rsidR="00A974BF" w:rsidRPr="005414A7">
        <w:rPr>
          <w:rFonts w:eastAsia="Century Gothic"/>
          <w:b/>
          <w:bCs/>
          <w:i/>
          <w:lang w:val="fr-CA"/>
        </w:rPr>
        <w:t xml:space="preserve">et </w:t>
      </w:r>
      <w:r w:rsidR="00EF3300">
        <w:rPr>
          <w:rFonts w:eastAsia="Century Gothic"/>
          <w:b/>
          <w:bCs/>
          <w:i/>
          <w:lang w:val="fr-CA"/>
        </w:rPr>
        <w:t>Oxycodone</w:t>
      </w:r>
      <w:r w:rsidR="00AF581A">
        <w:rPr>
          <w:rFonts w:eastAsia="Century Gothic"/>
          <w:b/>
          <w:bCs/>
          <w:i/>
          <w:lang w:val="fr-CA"/>
        </w:rPr>
        <w:t xml:space="preserve"> </w:t>
      </w:r>
      <w:r w:rsidR="00A974BF" w:rsidRPr="005414A7">
        <w:rPr>
          <w:rFonts w:eastAsia="Century Gothic"/>
          <w:i/>
          <w:lang w:val="fr-CA"/>
        </w:rPr>
        <w:t> </w:t>
      </w:r>
      <w:r w:rsidR="00A974BF" w:rsidRPr="005414A7">
        <w:rPr>
          <w:rFonts w:eastAsia="Century Gothic"/>
          <w:b/>
          <w:bCs/>
          <w:i/>
          <w:lang w:val="fr-CA"/>
        </w:rPr>
        <w:t xml:space="preserve">: </w:t>
      </w:r>
    </w:p>
    <w:p w:rsidR="00A974BF" w:rsidRPr="005414A7" w:rsidRDefault="00A974BF" w:rsidP="00A974BF">
      <w:pPr>
        <w:rPr>
          <w:rFonts w:eastAsia="Century Gothic"/>
          <w:lang w:val="fr-CA"/>
        </w:rPr>
      </w:pPr>
    </w:p>
    <w:bookmarkEnd w:id="0"/>
    <w:p w:rsidR="00005C34" w:rsidRPr="005414A7" w:rsidRDefault="00005C34" w:rsidP="00005C34">
      <w:pPr>
        <w:rPr>
          <w:rFonts w:eastAsia="Century Gothic"/>
          <w:lang w:val="fr-CA"/>
        </w:rPr>
      </w:pPr>
      <w:r w:rsidRPr="005414A7">
        <w:rPr>
          <w:rFonts w:eastAsia="Century Gothic"/>
          <w:u w:val="single"/>
          <w:lang w:val="fr-CA"/>
        </w:rPr>
        <w:t>Information supplémentaire :</w:t>
      </w:r>
    </w:p>
    <w:p w:rsidR="007C320F" w:rsidRPr="007C320F" w:rsidRDefault="007C320F" w:rsidP="007C320F">
      <w:pPr>
        <w:jc w:val="both"/>
        <w:rPr>
          <w:rFonts w:eastAsia="Century Gothic"/>
          <w:lang w:val="fr-CA"/>
        </w:rPr>
      </w:pPr>
      <w:r>
        <w:rPr>
          <w:rFonts w:eastAsia="Century Gothic"/>
          <w:lang w:val="fr-CA"/>
        </w:rPr>
        <w:t xml:space="preserve">Le </w:t>
      </w:r>
      <w:r w:rsidR="007E127B" w:rsidRPr="007E127B">
        <w:rPr>
          <w:rFonts w:eastAsia="Century Gothic"/>
          <w:lang w:val="fr-CA"/>
        </w:rPr>
        <w:t xml:space="preserve">Glécaprévir/Pibrentasvir (Maviret) </w:t>
      </w:r>
      <w:r w:rsidRPr="007C320F">
        <w:rPr>
          <w:rFonts w:eastAsia="Century Gothic"/>
          <w:lang w:val="fr-CA"/>
        </w:rPr>
        <w:t>est un faible inhibiteur du CYP 3A4. L’administration avec le midazolam n’a pas montré une augmentation cliniquement significative.</w:t>
      </w:r>
    </w:p>
    <w:p w:rsidR="007C320F" w:rsidRPr="007C320F" w:rsidRDefault="007C320F" w:rsidP="007C320F">
      <w:pPr>
        <w:rPr>
          <w:rFonts w:eastAsia="Century Gothic"/>
          <w:lang w:val="fr-CA"/>
        </w:rPr>
      </w:pPr>
    </w:p>
    <w:p w:rsidR="00005C34" w:rsidRDefault="007C320F" w:rsidP="007C320F">
      <w:pPr>
        <w:jc w:val="both"/>
        <w:rPr>
          <w:rFonts w:eastAsia="Century Gothic"/>
          <w:lang w:val="fr-CA"/>
        </w:rPr>
      </w:pPr>
      <w:r w:rsidRPr="007C320F">
        <w:rPr>
          <w:rFonts w:eastAsia="Century Gothic"/>
          <w:lang w:val="fr-CA"/>
        </w:rPr>
        <w:t xml:space="preserve">L’administration avec </w:t>
      </w:r>
      <w:r w:rsidR="00EF3300">
        <w:rPr>
          <w:rFonts w:eastAsia="Century Gothic"/>
          <w:lang w:val="fr-CA"/>
        </w:rPr>
        <w:t>l’oxycodone</w:t>
      </w:r>
      <w:r w:rsidRPr="007C320F">
        <w:rPr>
          <w:rFonts w:eastAsia="Century Gothic"/>
          <w:lang w:val="fr-CA"/>
        </w:rPr>
        <w:t xml:space="preserve"> n’a pas été étudiée, mais compte tenu que </w:t>
      </w:r>
      <w:r w:rsidR="00EF3300">
        <w:rPr>
          <w:rFonts w:eastAsia="Century Gothic"/>
          <w:lang w:val="fr-CA"/>
        </w:rPr>
        <w:t>l’oxycodone</w:t>
      </w:r>
      <w:r w:rsidR="00EF3300" w:rsidRPr="007C320F">
        <w:rPr>
          <w:rFonts w:eastAsia="Century Gothic"/>
          <w:lang w:val="fr-CA"/>
        </w:rPr>
        <w:t xml:space="preserve"> </w:t>
      </w:r>
      <w:r w:rsidRPr="007C320F">
        <w:rPr>
          <w:rFonts w:eastAsia="Century Gothic"/>
          <w:lang w:val="fr-CA"/>
        </w:rPr>
        <w:t xml:space="preserve">a un index thérapeutique étroit, l’utilisation concomitante surtout lors d’utilisation de </w:t>
      </w:r>
      <w:r w:rsidR="00EF3300">
        <w:rPr>
          <w:rFonts w:eastAsia="Century Gothic"/>
          <w:lang w:val="fr-CA"/>
        </w:rPr>
        <w:t>l’oxycodone</w:t>
      </w:r>
      <w:r w:rsidRPr="007C320F">
        <w:rPr>
          <w:rFonts w:eastAsia="Century Gothic"/>
          <w:lang w:val="fr-CA"/>
        </w:rPr>
        <w:t xml:space="preserve"> à usage illicite pourrait avoir des conséquences importantes pour le patient. En effet, des concentrations élevées </w:t>
      </w:r>
      <w:r w:rsidR="00EF3300">
        <w:rPr>
          <w:rFonts w:eastAsia="Century Gothic"/>
          <w:lang w:val="fr-CA"/>
        </w:rPr>
        <w:t>d</w:t>
      </w:r>
      <w:r w:rsidR="00EF3300">
        <w:rPr>
          <w:rFonts w:eastAsia="Century Gothic"/>
          <w:lang w:val="fr-CA"/>
        </w:rPr>
        <w:t>’oxycodone</w:t>
      </w:r>
      <w:r w:rsidR="00EF3300" w:rsidRPr="007C320F">
        <w:rPr>
          <w:rFonts w:eastAsia="Century Gothic"/>
          <w:lang w:val="fr-CA"/>
        </w:rPr>
        <w:t xml:space="preserve"> </w:t>
      </w:r>
      <w:r w:rsidRPr="007C320F">
        <w:rPr>
          <w:rFonts w:eastAsia="Century Gothic"/>
          <w:lang w:val="fr-CA"/>
        </w:rPr>
        <w:t>suite à des interactions médicamenteuse</w:t>
      </w:r>
      <w:r>
        <w:rPr>
          <w:rFonts w:eastAsia="Century Gothic"/>
          <w:lang w:val="fr-CA"/>
        </w:rPr>
        <w:t>s</w:t>
      </w:r>
      <w:r w:rsidRPr="007C320F">
        <w:rPr>
          <w:rFonts w:eastAsia="Century Gothic"/>
          <w:lang w:val="fr-CA"/>
        </w:rPr>
        <w:t xml:space="preserve"> sont associées à un risque de détresse respiratoire et de décès.</w:t>
      </w:r>
    </w:p>
    <w:p w:rsidR="00235DE8" w:rsidRDefault="00235DE8" w:rsidP="007C320F">
      <w:pPr>
        <w:jc w:val="both"/>
        <w:rPr>
          <w:rFonts w:eastAsia="Century Gothic"/>
          <w:lang w:val="fr-CA"/>
        </w:rPr>
      </w:pPr>
    </w:p>
    <w:p w:rsidR="00235DE8" w:rsidRPr="005414A7" w:rsidRDefault="00235DE8" w:rsidP="007C320F">
      <w:pPr>
        <w:jc w:val="both"/>
        <w:rPr>
          <w:rFonts w:eastAsia="Century Gothic"/>
          <w:lang w:val="fr-CA"/>
        </w:rPr>
      </w:pPr>
      <w:r w:rsidRPr="00235DE8">
        <w:rPr>
          <w:rFonts w:eastAsia="Century Gothic"/>
          <w:lang w:val="fr-CA"/>
        </w:rPr>
        <w:t>La monographie de l'oxycodone recommande la prudence lors de l’association de ce dernier avec les médicamen</w:t>
      </w:r>
      <w:r>
        <w:rPr>
          <w:rFonts w:eastAsia="Century Gothic"/>
          <w:lang w:val="fr-CA"/>
        </w:rPr>
        <w:t>ts</w:t>
      </w:r>
      <w:r w:rsidRPr="00235DE8">
        <w:rPr>
          <w:rFonts w:eastAsia="Century Gothic"/>
          <w:lang w:val="fr-CA"/>
        </w:rPr>
        <w:t xml:space="preserve"> qui sont des inhibiteurs du CYP3A4.</w:t>
      </w:r>
      <w:bookmarkStart w:id="1" w:name="_GoBack"/>
      <w:bookmarkEnd w:id="1"/>
    </w:p>
    <w:p w:rsidR="00005C34" w:rsidRPr="005414A7" w:rsidRDefault="00005C34" w:rsidP="00005C34">
      <w:pPr>
        <w:rPr>
          <w:rFonts w:eastAsia="Century Gothic"/>
          <w:lang w:val="fr-CA"/>
        </w:rPr>
      </w:pPr>
    </w:p>
    <w:p w:rsidR="00005C34" w:rsidRPr="005414A7" w:rsidRDefault="00005C34" w:rsidP="00005C34">
      <w:pPr>
        <w:rPr>
          <w:rFonts w:eastAsia="Century Gothic"/>
          <w:u w:val="single"/>
          <w:lang w:val="fr-CA"/>
        </w:rPr>
      </w:pPr>
      <w:r w:rsidRPr="005414A7">
        <w:rPr>
          <w:rFonts w:eastAsia="Century Gothic"/>
          <w:u w:val="single"/>
          <w:lang w:val="fr-CA"/>
        </w:rPr>
        <w:t>Options thérapeu</w:t>
      </w:r>
      <w:r w:rsidR="00675C34">
        <w:rPr>
          <w:rFonts w:eastAsia="Century Gothic"/>
          <w:u w:val="single"/>
          <w:lang w:val="fr-CA"/>
        </w:rPr>
        <w:t>tiques possibles</w:t>
      </w:r>
      <w:r w:rsidRPr="005414A7">
        <w:rPr>
          <w:rFonts w:eastAsia="Century Gothic"/>
          <w:u w:val="single"/>
          <w:lang w:val="fr-CA"/>
        </w:rPr>
        <w:t xml:space="preserve"> : </w:t>
      </w:r>
    </w:p>
    <w:p w:rsidR="00675C34" w:rsidRPr="00675C34" w:rsidRDefault="00675C34" w:rsidP="00EF3300">
      <w:pPr>
        <w:pBdr>
          <w:top w:val="nil"/>
          <w:left w:val="nil"/>
          <w:bottom w:val="nil"/>
          <w:right w:val="nil"/>
          <w:between w:val="nil"/>
        </w:pBdr>
        <w:rPr>
          <w:rFonts w:eastAsia="Century Gothic"/>
          <w:color w:val="000000"/>
          <w:lang w:val="fr-CA"/>
        </w:rPr>
      </w:pPr>
    </w:p>
    <w:p w:rsidR="00675C34" w:rsidRPr="00675C34" w:rsidRDefault="00675C34" w:rsidP="00675C34">
      <w:pPr>
        <w:jc w:val="both"/>
        <w:rPr>
          <w:rFonts w:eastAsia="Century Gothic"/>
          <w:i/>
          <w:lang w:val="fr-CA"/>
        </w:rPr>
      </w:pPr>
      <w:r w:rsidRPr="00675C34">
        <w:rPr>
          <w:rFonts w:eastAsia="Century Gothic"/>
          <w:i/>
          <w:color w:val="4B4B4B"/>
          <w:lang w:val="fr-CA"/>
        </w:rPr>
        <w:t>Si le patient e</w:t>
      </w:r>
      <w:r>
        <w:rPr>
          <w:rFonts w:eastAsia="Century Gothic"/>
          <w:i/>
          <w:color w:val="4B4B4B"/>
          <w:lang w:val="fr-CA"/>
        </w:rPr>
        <w:t xml:space="preserve">st déjà sous </w:t>
      </w:r>
      <w:r w:rsidR="00EF3300">
        <w:rPr>
          <w:rFonts w:eastAsia="Century Gothic"/>
          <w:i/>
          <w:color w:val="4B4B4B"/>
          <w:lang w:val="fr-CA"/>
        </w:rPr>
        <w:t>oxycodone</w:t>
      </w:r>
      <w:r>
        <w:rPr>
          <w:rFonts w:eastAsia="Century Gothic"/>
          <w:i/>
          <w:color w:val="4B4B4B"/>
          <w:lang w:val="fr-CA"/>
        </w:rPr>
        <w:t xml:space="preserve"> et que le traitement avec </w:t>
      </w:r>
      <w:r w:rsidRPr="00675C34">
        <w:rPr>
          <w:rFonts w:eastAsia="Century Gothic"/>
          <w:i/>
          <w:color w:val="4B4B4B"/>
          <w:lang w:val="fr-CA"/>
        </w:rPr>
        <w:t>Gl</w:t>
      </w:r>
      <w:r>
        <w:rPr>
          <w:rFonts w:eastAsia="Century Gothic"/>
          <w:i/>
          <w:color w:val="4B4B4B"/>
          <w:lang w:val="fr-CA"/>
        </w:rPr>
        <w:t>écaprévir/Pibrentasvir (Maviret) est débuté</w:t>
      </w:r>
      <w:r w:rsidRPr="00675C34">
        <w:rPr>
          <w:rFonts w:eastAsia="Century Gothic"/>
          <w:i/>
          <w:color w:val="4B4B4B"/>
          <w:lang w:val="fr-CA"/>
        </w:rPr>
        <w:t>. </w:t>
      </w:r>
    </w:p>
    <w:p w:rsidR="00EF3300" w:rsidRPr="00EF3300" w:rsidRDefault="00EF3300" w:rsidP="00EF3300">
      <w:pPr>
        <w:pStyle w:val="Paragraphedeliste"/>
        <w:numPr>
          <w:ilvl w:val="0"/>
          <w:numId w:val="7"/>
        </w:numPr>
        <w:rPr>
          <w:rFonts w:eastAsia="Century Gothic"/>
          <w:color w:val="000000"/>
          <w:lang w:val="fr-CA"/>
        </w:rPr>
      </w:pPr>
      <w:r w:rsidRPr="00EF3300">
        <w:rPr>
          <w:rFonts w:eastAsia="Century Gothic"/>
          <w:color w:val="000000"/>
          <w:lang w:val="fr-CA"/>
        </w:rPr>
        <w:t>Cesser l'oxycodone et débuter l'analgésique de substitution (morphine ou hydromorphone) avec 60-75 % de la dose convertie d'oxycodone.</w:t>
      </w:r>
    </w:p>
    <w:p w:rsidR="00675C34" w:rsidRPr="00675C34" w:rsidRDefault="00EF3300" w:rsidP="00EF33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lang w:val="fr-CA"/>
        </w:rPr>
      </w:pPr>
      <w:r w:rsidRPr="00EF3300">
        <w:rPr>
          <w:rFonts w:eastAsia="Century Gothic"/>
          <w:color w:val="000000"/>
          <w:lang w:val="fr-CA"/>
        </w:rPr>
        <w:t>Si l’oxycodone ne peut être remplacé par morphine ou hydromorphone, diminuer la dose d’oxycodone jusqu’à 50 % (individualiser) puis exercer un suivi étroit pour évaluer la tolérance et titrer la dose</w:t>
      </w:r>
      <w:r w:rsidR="00675C34" w:rsidRPr="00675C34">
        <w:rPr>
          <w:rFonts w:eastAsia="Century Gothic"/>
          <w:color w:val="000000"/>
          <w:lang w:val="fr-CA"/>
        </w:rPr>
        <w:t xml:space="preserve">. </w:t>
      </w:r>
    </w:p>
    <w:p w:rsidR="00675C34" w:rsidRPr="00675C34" w:rsidRDefault="00675C34" w:rsidP="00675C3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entury Gothic"/>
          <w:lang w:val="fr-CA"/>
        </w:rPr>
      </w:pPr>
    </w:p>
    <w:p w:rsidR="00675C34" w:rsidRPr="00675C34" w:rsidRDefault="00675C34" w:rsidP="00675C34">
      <w:pPr>
        <w:jc w:val="both"/>
        <w:rPr>
          <w:rFonts w:eastAsia="Century Gothic"/>
          <w:i/>
          <w:lang w:val="fr-CA"/>
        </w:rPr>
      </w:pPr>
      <w:r w:rsidRPr="00675C34">
        <w:rPr>
          <w:rFonts w:eastAsia="Century Gothic"/>
          <w:i/>
          <w:color w:val="4B4B4B"/>
          <w:lang w:val="fr-CA"/>
        </w:rPr>
        <w:t xml:space="preserve">Si </w:t>
      </w:r>
      <w:r w:rsidR="00EF3300">
        <w:rPr>
          <w:rFonts w:eastAsia="Century Gothic"/>
          <w:i/>
          <w:color w:val="4B4B4B"/>
          <w:lang w:val="fr-CA"/>
        </w:rPr>
        <w:t>l’oxycodone</w:t>
      </w:r>
      <w:r w:rsidRPr="00675C34">
        <w:rPr>
          <w:rFonts w:eastAsia="Century Gothic"/>
          <w:i/>
          <w:color w:val="4B4B4B"/>
          <w:lang w:val="fr-CA"/>
        </w:rPr>
        <w:t xml:space="preserve"> est ajouté</w:t>
      </w:r>
      <w:r w:rsidR="00EF3300">
        <w:rPr>
          <w:rFonts w:eastAsia="Century Gothic"/>
          <w:i/>
          <w:color w:val="4B4B4B"/>
          <w:lang w:val="fr-CA"/>
        </w:rPr>
        <w:t>e</w:t>
      </w:r>
      <w:r w:rsidRPr="00675C34">
        <w:rPr>
          <w:rFonts w:eastAsia="Century Gothic"/>
          <w:i/>
          <w:color w:val="4B4B4B"/>
          <w:lang w:val="fr-CA"/>
        </w:rPr>
        <w:t xml:space="preserve"> à </w:t>
      </w:r>
      <w:r>
        <w:rPr>
          <w:rFonts w:eastAsia="Century Gothic"/>
          <w:i/>
          <w:color w:val="4B4B4B"/>
          <w:lang w:val="fr-CA"/>
        </w:rPr>
        <w:t xml:space="preserve">un </w:t>
      </w:r>
      <w:r w:rsidRPr="00675C34">
        <w:rPr>
          <w:rFonts w:eastAsia="Century Gothic"/>
          <w:i/>
          <w:color w:val="4B4B4B"/>
          <w:lang w:val="fr-CA"/>
        </w:rPr>
        <w:t>traitement avec Glé</w:t>
      </w:r>
      <w:r>
        <w:rPr>
          <w:rFonts w:eastAsia="Century Gothic"/>
          <w:i/>
          <w:color w:val="4B4B4B"/>
          <w:lang w:val="fr-CA"/>
        </w:rPr>
        <w:t>caprévir/Pibrentasvir (Maviret) déjà existant</w:t>
      </w:r>
      <w:r w:rsidRPr="00675C34">
        <w:rPr>
          <w:rFonts w:eastAsia="Century Gothic"/>
          <w:i/>
          <w:lang w:val="fr-CA"/>
        </w:rPr>
        <w:t>.</w:t>
      </w:r>
    </w:p>
    <w:p w:rsidR="00675C34" w:rsidRPr="00675C34" w:rsidRDefault="00675C34" w:rsidP="00675C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lang w:val="fr-CA"/>
        </w:rPr>
      </w:pPr>
      <w:r w:rsidRPr="00675C34">
        <w:rPr>
          <w:rFonts w:eastAsia="Century Gothic"/>
          <w:color w:val="000000"/>
          <w:lang w:val="fr-CA"/>
        </w:rPr>
        <w:t>Débuter avec la dose la plus faible possible et titrer selon tolérance et efficacité.</w:t>
      </w:r>
    </w:p>
    <w:p w:rsidR="00675C34" w:rsidRDefault="00675C34" w:rsidP="00675C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bookmarkStart w:id="2" w:name="_gjdgxs" w:colFirst="0" w:colLast="0"/>
      <w:bookmarkEnd w:id="2"/>
      <w:r>
        <w:rPr>
          <w:rFonts w:eastAsia="Century Gothic"/>
          <w:color w:val="000000"/>
        </w:rPr>
        <w:t>Solution de rechange :</w:t>
      </w:r>
    </w:p>
    <w:p w:rsidR="00675C34" w:rsidRDefault="00675C34" w:rsidP="00675C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rFonts w:eastAsia="Century Gothic"/>
          <w:color w:val="000000"/>
        </w:rPr>
        <w:t xml:space="preserve">Hydromorphone </w:t>
      </w:r>
    </w:p>
    <w:p w:rsidR="00675C34" w:rsidRDefault="00675C34" w:rsidP="00675C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rFonts w:eastAsia="Century Gothic"/>
          <w:color w:val="000000"/>
        </w:rPr>
        <w:t xml:space="preserve">Morphine </w:t>
      </w:r>
    </w:p>
    <w:p w:rsidR="00675C34" w:rsidRDefault="00675C34" w:rsidP="00675C34">
      <w:pPr>
        <w:jc w:val="both"/>
        <w:rPr>
          <w:rFonts w:eastAsia="Century Gothic"/>
        </w:rPr>
      </w:pPr>
    </w:p>
    <w:p w:rsidR="00675C34" w:rsidRPr="00675C34" w:rsidRDefault="00675C34" w:rsidP="00675C34">
      <w:pPr>
        <w:jc w:val="both"/>
        <w:rPr>
          <w:rFonts w:eastAsia="Century Gothic"/>
          <w:i/>
          <w:lang w:val="fr-CA"/>
        </w:rPr>
      </w:pPr>
      <w:r w:rsidRPr="00675C34">
        <w:rPr>
          <w:rFonts w:eastAsia="Century Gothic"/>
          <w:i/>
          <w:lang w:val="fr-CA"/>
        </w:rPr>
        <w:t xml:space="preserve">Patients actuellement sous traitement avec cette association et la tolérant. </w:t>
      </w:r>
    </w:p>
    <w:p w:rsidR="00675C34" w:rsidRPr="00675C34" w:rsidRDefault="00675C34" w:rsidP="00675C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fr-CA"/>
        </w:rPr>
      </w:pPr>
      <w:r w:rsidRPr="00675C34">
        <w:rPr>
          <w:rFonts w:eastAsia="Century Gothic"/>
          <w:color w:val="000000"/>
          <w:lang w:val="fr-CA"/>
        </w:rPr>
        <w:t>Effectuer un suivi étroit des effets indési</w:t>
      </w:r>
      <w:r w:rsidR="00671B9E">
        <w:rPr>
          <w:rFonts w:eastAsia="Century Gothic"/>
          <w:color w:val="000000"/>
          <w:lang w:val="fr-CA"/>
        </w:rPr>
        <w:t>rables</w:t>
      </w:r>
      <w:r w:rsidRPr="00675C34">
        <w:rPr>
          <w:rFonts w:eastAsia="Century Gothic"/>
          <w:color w:val="000000"/>
          <w:lang w:val="fr-CA"/>
        </w:rPr>
        <w:t>.</w:t>
      </w:r>
    </w:p>
    <w:p w:rsidR="00E874F2" w:rsidRPr="00675C34" w:rsidRDefault="00E874F2" w:rsidP="00675C34">
      <w:pPr>
        <w:jc w:val="both"/>
        <w:rPr>
          <w:rFonts w:eastAsia="Century Gothic"/>
          <w:b/>
          <w:color w:val="000000"/>
          <w:lang w:val="fr-CA"/>
        </w:rPr>
      </w:pPr>
    </w:p>
    <w:p w:rsidR="00675C34" w:rsidRPr="00675C34" w:rsidRDefault="00675C34" w:rsidP="00675C34">
      <w:pPr>
        <w:jc w:val="both"/>
        <w:rPr>
          <w:rFonts w:eastAsia="Century Gothic"/>
          <w:b/>
          <w:lang w:val="fr-CA"/>
        </w:rPr>
      </w:pPr>
      <w:r w:rsidRPr="00675C34">
        <w:rPr>
          <w:rFonts w:eastAsia="Century Gothic"/>
          <w:b/>
          <w:lang w:val="fr-CA"/>
        </w:rPr>
        <w:t>Solutions de rechange ou en supplément.</w:t>
      </w:r>
    </w:p>
    <w:p w:rsidR="00675C34" w:rsidRPr="00675C34" w:rsidRDefault="00675C34" w:rsidP="00675C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lang w:val="fr-CA"/>
        </w:rPr>
      </w:pPr>
      <w:r w:rsidRPr="00675C34">
        <w:rPr>
          <w:rFonts w:eastAsia="Century Gothic"/>
          <w:color w:val="000000"/>
          <w:lang w:val="fr-CA"/>
        </w:rPr>
        <w:t>Tylénol</w:t>
      </w:r>
      <w:r w:rsidRPr="00675C34">
        <w:rPr>
          <w:rFonts w:eastAsia="Century Gothic"/>
          <w:lang w:val="fr-CA"/>
        </w:rPr>
        <w:t xml:space="preserve">, </w:t>
      </w:r>
      <w:r>
        <w:rPr>
          <w:rFonts w:eastAsia="Century Gothic"/>
          <w:color w:val="000000"/>
          <w:lang w:val="fr-CA"/>
        </w:rPr>
        <w:t xml:space="preserve">AINS </w:t>
      </w:r>
      <w:r w:rsidRPr="00675C34">
        <w:rPr>
          <w:rFonts w:eastAsia="Century Gothic"/>
          <w:lang w:val="fr-CA"/>
        </w:rPr>
        <w:t>ou co-analgésie</w:t>
      </w:r>
    </w:p>
    <w:p w:rsidR="00675C34" w:rsidRDefault="00675C34" w:rsidP="00675C34">
      <w:pPr>
        <w:rPr>
          <w:rFonts w:eastAsia="Century Gothic"/>
          <w:b/>
          <w:lang w:val="fr-CA"/>
        </w:rPr>
      </w:pPr>
    </w:p>
    <w:p w:rsidR="00EF3300" w:rsidRDefault="00EF3300" w:rsidP="00675C34">
      <w:pPr>
        <w:rPr>
          <w:rFonts w:eastAsia="Century Gothic"/>
          <w:b/>
        </w:rPr>
      </w:pPr>
    </w:p>
    <w:p w:rsidR="00EF3300" w:rsidRDefault="00EF3300" w:rsidP="00675C34">
      <w:pPr>
        <w:rPr>
          <w:rFonts w:eastAsia="Century Gothic"/>
          <w:b/>
        </w:rPr>
      </w:pPr>
    </w:p>
    <w:p w:rsidR="00EF3300" w:rsidRDefault="00EF3300" w:rsidP="00675C34">
      <w:pPr>
        <w:rPr>
          <w:rFonts w:eastAsia="Century Gothic"/>
          <w:b/>
        </w:rPr>
      </w:pPr>
    </w:p>
    <w:p w:rsidR="00EF3300" w:rsidRDefault="00EF3300" w:rsidP="00675C34">
      <w:pPr>
        <w:rPr>
          <w:rFonts w:eastAsia="Century Gothic"/>
          <w:b/>
        </w:rPr>
      </w:pPr>
    </w:p>
    <w:p w:rsidR="00675C34" w:rsidRDefault="00675C34" w:rsidP="00675C34">
      <w:pPr>
        <w:rPr>
          <w:rFonts w:eastAsia="Century Gothic"/>
          <w:b/>
        </w:rPr>
      </w:pPr>
      <w:r>
        <w:rPr>
          <w:rFonts w:eastAsia="Century Gothic"/>
          <w:b/>
        </w:rPr>
        <w:t xml:space="preserve">Suivi : </w:t>
      </w:r>
    </w:p>
    <w:p w:rsidR="00675C34" w:rsidRDefault="00675C34" w:rsidP="00675C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rFonts w:eastAsia="Century Gothic"/>
          <w:color w:val="000000"/>
        </w:rPr>
        <w:t xml:space="preserve">Surveiller </w:t>
      </w:r>
      <w:r>
        <w:rPr>
          <w:rFonts w:eastAsia="Century Gothic"/>
        </w:rPr>
        <w:t>efficacité</w:t>
      </w:r>
      <w:r>
        <w:rPr>
          <w:rFonts w:eastAsia="Century Gothic"/>
          <w:color w:val="000000"/>
        </w:rPr>
        <w:t xml:space="preserve"> des analgésiques.</w:t>
      </w:r>
    </w:p>
    <w:p w:rsidR="00675C34" w:rsidRPr="00675C34" w:rsidRDefault="00675C34" w:rsidP="00675C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lang w:val="fr-CA"/>
        </w:rPr>
      </w:pPr>
      <w:r w:rsidRPr="00675C34">
        <w:rPr>
          <w:rFonts w:eastAsia="Century Gothic"/>
          <w:color w:val="000000"/>
          <w:lang w:val="fr-CA"/>
        </w:rPr>
        <w:t>Surveiller toxicité (myosis, euphorie, dysphorie, somnolence, confusion, sédation excessive, diminution de la vigilance, hallucinations, étourdissements, bradycardie, myoclonies, hypotension, dépression respiratoire prolongée ou récurrente) des analgésiques.</w:t>
      </w:r>
    </w:p>
    <w:p w:rsidR="00675C34" w:rsidRPr="00675C34" w:rsidRDefault="00675C34" w:rsidP="00675C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lang w:val="fr-CA"/>
        </w:rPr>
      </w:pPr>
      <w:r w:rsidRPr="00675C34">
        <w:rPr>
          <w:rFonts w:eastAsia="Century Gothic"/>
          <w:color w:val="000000"/>
          <w:lang w:val="fr-CA"/>
        </w:rPr>
        <w:t>Surveiller sympt</w:t>
      </w:r>
      <w:r w:rsidRPr="00675C34">
        <w:rPr>
          <w:rFonts w:eastAsia="Century Gothic"/>
          <w:lang w:val="fr-CA"/>
        </w:rPr>
        <w:t xml:space="preserve">ômes de </w:t>
      </w:r>
      <w:r w:rsidRPr="00675C34">
        <w:rPr>
          <w:rFonts w:eastAsia="Century Gothic"/>
          <w:color w:val="000000"/>
          <w:lang w:val="fr-CA"/>
        </w:rPr>
        <w:t>sevrage (« craving », irritabilité, myalgies, spasmes musculaires, rougeurs, douleurs abdominales, nausées, vomissements, diarrhée, diaphorèse, larmoiements, rhinorrhée, mydriase, bâillements, piloérection, tachycardie, tremblements).</w:t>
      </w:r>
    </w:p>
    <w:p w:rsidR="00A974BF" w:rsidRDefault="00A974BF" w:rsidP="00A974BF">
      <w:pPr>
        <w:rPr>
          <w:rFonts w:eastAsia="Century Gothic"/>
          <w:lang w:val="fr-CA"/>
        </w:rPr>
      </w:pPr>
    </w:p>
    <w:p w:rsidR="00173AEA" w:rsidRPr="00A974BF" w:rsidRDefault="00173AEA" w:rsidP="00A974BF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 w:rsidRPr="00A974BF">
        <w:rPr>
          <w:rFonts w:eastAsia="Century Gothic"/>
          <w:lang w:val="fr-CA"/>
        </w:rPr>
        <w:t>En toute collaboration,</w:t>
      </w:r>
    </w:p>
    <w:p w:rsidR="00A7767A" w:rsidRPr="00A974BF" w:rsidRDefault="00173AEA" w:rsidP="00A7767A">
      <w:pPr>
        <w:ind w:left="720" w:firstLine="720"/>
        <w:jc w:val="both"/>
        <w:rPr>
          <w:rFonts w:eastAsia="Century Gothic"/>
          <w:lang w:val="fr-CA"/>
        </w:rPr>
      </w:pPr>
      <w:r w:rsidRPr="00A974BF">
        <w:rPr>
          <w:rFonts w:eastAsia="Century Gothic"/>
          <w:lang w:val="fr-CA"/>
        </w:rPr>
        <w:t>Pharmacie(ne) :</w:t>
      </w:r>
      <w:r w:rsidR="00A15FA1" w:rsidRPr="00A974BF">
        <w:rPr>
          <w:rFonts w:eastAsia="Century Gothic"/>
          <w:lang w:val="fr-CA"/>
        </w:rPr>
        <w:t xml:space="preserve"> </w:t>
      </w:r>
      <w:r w:rsidRPr="00A974BF">
        <w:rPr>
          <w:rFonts w:eastAsia="Century Gothic"/>
          <w:lang w:val="fr-CA"/>
        </w:rPr>
        <w:t>_____________</w:t>
      </w:r>
      <w:r w:rsidR="00A7767A" w:rsidRPr="00A974BF">
        <w:rPr>
          <w:rFonts w:eastAsia="Century Gothic"/>
          <w:lang w:val="fr-CA"/>
        </w:rPr>
        <w:t>____________________</w:t>
      </w:r>
      <w:r w:rsidRPr="00A974BF">
        <w:rPr>
          <w:rFonts w:eastAsia="Century Gothic"/>
          <w:lang w:val="fr-CA"/>
        </w:rPr>
        <w:t>____________</w:t>
      </w:r>
    </w:p>
    <w:p w:rsidR="00FA6CB7" w:rsidRPr="00A974BF" w:rsidRDefault="00A7767A" w:rsidP="00A7767A">
      <w:pPr>
        <w:ind w:left="1440"/>
        <w:rPr>
          <w:rFonts w:eastAsia="Century Gothic"/>
          <w:lang w:val="fr-CA"/>
        </w:rPr>
      </w:pPr>
      <w:r w:rsidRPr="00A974BF">
        <w:rPr>
          <w:rFonts w:eastAsia="Century Gothic"/>
          <w:color w:val="000000"/>
          <w:sz w:val="10"/>
          <w:szCs w:val="10"/>
          <w:lang w:val="fr-CA"/>
        </w:rPr>
        <w:br/>
      </w:r>
      <w:r w:rsidR="00173AEA" w:rsidRPr="00A974BF">
        <w:rPr>
          <w:rFonts w:eastAsia="Century Gothic"/>
          <w:color w:val="000000"/>
          <w:lang w:val="fr-CA"/>
        </w:rPr>
        <w:t>#Téléphone :</w:t>
      </w:r>
      <w:r w:rsidRPr="00A974BF">
        <w:rPr>
          <w:rFonts w:eastAsia="Century Gothic"/>
          <w:color w:val="000000"/>
          <w:lang w:val="fr-CA"/>
        </w:rPr>
        <w:t xml:space="preserve"> ________________</w:t>
      </w:r>
      <w:r w:rsidR="00173AEA" w:rsidRPr="00A974BF">
        <w:rPr>
          <w:rFonts w:eastAsia="Century Gothic"/>
          <w:color w:val="000000"/>
          <w:lang w:val="fr-CA"/>
        </w:rPr>
        <w:t>______</w:t>
      </w:r>
      <w:r w:rsidR="00173AEA" w:rsidRPr="00A974BF">
        <w:rPr>
          <w:rFonts w:ascii="Arial" w:eastAsia="Century Gothic" w:hAnsi="Arial" w:cs="Arial"/>
          <w:color w:val="000000"/>
          <w:lang w:val="fr-CA"/>
        </w:rPr>
        <w:t>​</w:t>
      </w:r>
      <w:r w:rsidRPr="00A974BF">
        <w:rPr>
          <w:rFonts w:ascii="Arial" w:eastAsia="Century Gothic" w:hAnsi="Arial" w:cs="Arial"/>
          <w:color w:val="000000"/>
          <w:lang w:val="fr-CA"/>
        </w:rPr>
        <w:t xml:space="preserve"> </w:t>
      </w:r>
      <w:r w:rsidRPr="00A974BF">
        <w:rPr>
          <w:rFonts w:eastAsia="Century Gothic"/>
          <w:color w:val="000000"/>
          <w:lang w:val="fr-CA"/>
        </w:rPr>
        <w:t xml:space="preserve">#Télécopieur : __________________________       </w:t>
      </w:r>
      <w:r w:rsidR="002B66D9" w:rsidRPr="00A974BF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0B663C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0B663C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ab/>
                              <w:t xml:space="preserve">        </w:t>
                            </w:r>
                            <w:r w:rsidRPr="000B663C">
                              <w:t xml:space="preserve">Signature </w:t>
                            </w:r>
                            <w:r w:rsidR="00596720" w:rsidRPr="000B663C">
                              <w:t>et licence :_______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0B663C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0B663C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0B663C" w:rsidRDefault="00173AEA" w:rsidP="003413ED">
                      <w:r w:rsidRPr="000B663C">
                        <w:t xml:space="preserve">Date : _____/_____/_____ </w:t>
                      </w:r>
                      <w:r w:rsidR="003413ED" w:rsidRPr="000B663C">
                        <w:tab/>
                        <w:t xml:space="preserve">        </w:t>
                      </w:r>
                      <w:r w:rsidRPr="000B663C">
                        <w:t xml:space="preserve">Signature </w:t>
                      </w:r>
                      <w:r w:rsidR="00596720" w:rsidRPr="000B663C">
                        <w:t>et licence :_______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D7" w:rsidRDefault="006C21D7" w:rsidP="00CD5A4A">
      <w:r>
        <w:separator/>
      </w:r>
    </w:p>
  </w:endnote>
  <w:endnote w:type="continuationSeparator" w:id="0">
    <w:p w:rsidR="006C21D7" w:rsidRDefault="006C21D7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="00E166AE">
      <w:rPr>
        <w:lang w:val="fr-CA"/>
      </w:rPr>
      <w:t>Février 2021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D7" w:rsidRDefault="006C21D7" w:rsidP="00CD5A4A">
      <w:r>
        <w:separator/>
      </w:r>
    </w:p>
  </w:footnote>
  <w:footnote w:type="continuationSeparator" w:id="0">
    <w:p w:rsidR="006C21D7" w:rsidRDefault="006C21D7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C21D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C21D7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E41ED"/>
    <w:multiLevelType w:val="multilevel"/>
    <w:tmpl w:val="D6D2BB7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AC5AF7"/>
    <w:multiLevelType w:val="multilevel"/>
    <w:tmpl w:val="E2BE2F0E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60602C"/>
    <w:multiLevelType w:val="multilevel"/>
    <w:tmpl w:val="70420C7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346CCF"/>
    <w:multiLevelType w:val="multilevel"/>
    <w:tmpl w:val="41129F4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E17"/>
    <w:multiLevelType w:val="multilevel"/>
    <w:tmpl w:val="EE946DF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05C34"/>
    <w:rsid w:val="00055216"/>
    <w:rsid w:val="0005559A"/>
    <w:rsid w:val="00056710"/>
    <w:rsid w:val="000608A4"/>
    <w:rsid w:val="0006785D"/>
    <w:rsid w:val="00075017"/>
    <w:rsid w:val="000778AF"/>
    <w:rsid w:val="00094ACE"/>
    <w:rsid w:val="000B663C"/>
    <w:rsid w:val="000C1844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200B48"/>
    <w:rsid w:val="002128AF"/>
    <w:rsid w:val="002264DF"/>
    <w:rsid w:val="00235DE8"/>
    <w:rsid w:val="00261691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A7D39"/>
    <w:rsid w:val="003C6E8F"/>
    <w:rsid w:val="003D7BCD"/>
    <w:rsid w:val="004066E9"/>
    <w:rsid w:val="00427BE2"/>
    <w:rsid w:val="00442536"/>
    <w:rsid w:val="0044508D"/>
    <w:rsid w:val="00446286"/>
    <w:rsid w:val="00467422"/>
    <w:rsid w:val="004862C3"/>
    <w:rsid w:val="00497C72"/>
    <w:rsid w:val="00533604"/>
    <w:rsid w:val="00547DB4"/>
    <w:rsid w:val="00567809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44BE"/>
    <w:rsid w:val="00671B9E"/>
    <w:rsid w:val="00675C34"/>
    <w:rsid w:val="00677AB8"/>
    <w:rsid w:val="006A74B9"/>
    <w:rsid w:val="006B2F22"/>
    <w:rsid w:val="006C21D7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7C320F"/>
    <w:rsid w:val="007D7670"/>
    <w:rsid w:val="007E127B"/>
    <w:rsid w:val="00800BC3"/>
    <w:rsid w:val="00843D3C"/>
    <w:rsid w:val="0085409D"/>
    <w:rsid w:val="008607B8"/>
    <w:rsid w:val="00863E63"/>
    <w:rsid w:val="008778DB"/>
    <w:rsid w:val="008A5DD3"/>
    <w:rsid w:val="008B019C"/>
    <w:rsid w:val="008C3534"/>
    <w:rsid w:val="008C72A6"/>
    <w:rsid w:val="008D37E0"/>
    <w:rsid w:val="008F6C04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974BF"/>
    <w:rsid w:val="00AD09F7"/>
    <w:rsid w:val="00AE351C"/>
    <w:rsid w:val="00AF40AB"/>
    <w:rsid w:val="00AF4C12"/>
    <w:rsid w:val="00AF581A"/>
    <w:rsid w:val="00B061EE"/>
    <w:rsid w:val="00B4698E"/>
    <w:rsid w:val="00B5500A"/>
    <w:rsid w:val="00B76713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52659"/>
    <w:rsid w:val="00C754CB"/>
    <w:rsid w:val="00C835EA"/>
    <w:rsid w:val="00C917C3"/>
    <w:rsid w:val="00CC1A72"/>
    <w:rsid w:val="00CD4792"/>
    <w:rsid w:val="00CD5A4A"/>
    <w:rsid w:val="00D05073"/>
    <w:rsid w:val="00D213AD"/>
    <w:rsid w:val="00D446FB"/>
    <w:rsid w:val="00D809DD"/>
    <w:rsid w:val="00D86D63"/>
    <w:rsid w:val="00DC7986"/>
    <w:rsid w:val="00E01BA6"/>
    <w:rsid w:val="00E05B46"/>
    <w:rsid w:val="00E166AE"/>
    <w:rsid w:val="00E20E8A"/>
    <w:rsid w:val="00E47E23"/>
    <w:rsid w:val="00E6747F"/>
    <w:rsid w:val="00E737D5"/>
    <w:rsid w:val="00E874F2"/>
    <w:rsid w:val="00EC46A5"/>
    <w:rsid w:val="00EF18B6"/>
    <w:rsid w:val="00EF3300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9EA1-B3D1-46F1-8D69-D9EF0878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1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3187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2019-04-24T20:30:00Z</cp:lastPrinted>
  <dcterms:created xsi:type="dcterms:W3CDTF">2021-02-09T08:55:00Z</dcterms:created>
  <dcterms:modified xsi:type="dcterms:W3CDTF">2021-02-09T08:56:00Z</dcterms:modified>
</cp:coreProperties>
</file>