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hypnotiques/anxiolytiques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 ritonavir ou au 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Alprazolam (Xanax)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Buspirone (Buspar)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Clonazépam (Rivotril)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Diazépam (Valium)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Flurazépam (Dalmane)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Nitrazépam (Mog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adon)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Zolpidem (Sublinox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Zopiclone (Imovane)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13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Atazanavir/Cobicistat (Evotaz)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Elvitégravir/Cobicistat/Emtricitabine/Ténofovir (Stribild, Genvoya)</w:t>
      </w:r>
    </w:p>
    <w:p w:rsidR="00000000" w:rsidDel="00000000" w:rsidP="00000000" w:rsidRDefault="00000000" w:rsidRPr="00000000" w14:paraId="00000018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Lopinavir/Ritonavir (Kaletra)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des effets indésirables de ces hypnotiques/anxiolytiques peut survenir suite à l’administration concomitante avec les antirétroviraux mentionnés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1-10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cobicistat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 ritonavir sont de puissants inhibiteurs du cytochrome (CYP) 3A4.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Les hypnotiques/anxiolytiques sont des substrats de ce cytochrome.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ette inhibition peut augmenter la concentration plasmatique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 hypnotiques/anxiolytiques nommés ci-haut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et ainsi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accroître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le risque d’exposition à leurs effets indésirables.</w:t>
      </w:r>
    </w:p>
    <w:p w:rsidR="00000000" w:rsidDel="00000000" w:rsidP="00000000" w:rsidRDefault="00000000" w:rsidRPr="00000000" w14:paraId="00000021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Lorazépam, oxazépam et témazépam  sont des solutions de rechange plus appropriées en raison de leur métabolisme glucuronoconjugué.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7, 10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  <w:shd w:fill="fce5cd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Alprazolam + ritonavir :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Dans une étude à court terme, une augmentation de 2,5 fois la SSC de l’alprazolam a été observée.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2, 10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3"/>
        </w:numPr>
        <w:ind w:left="144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Dans une étude où le ritonavir était à l’équilibre, une diminution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de 12 % de la SSC de l’alprazolam a été observée.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9,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Zolpidem + kétoconazole (puissant inhibiteur du CYP3A4) 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↑  de 70 % de la SSC du zolpidem.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Zopiclone + érythromycine (inhibiteur du CYP3A4) 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↑ de 80 % de la surface sous la courbe (SSC) du zopiclone.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4, 6, 10</w:t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1, 4, 5, 7, 10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Si l’hypnotique/anxiolytique est ajouté à une thérapie antirétrovirale déjà existante.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Débuter les hypnotiques/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anxiolytiques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à faible dose puis augmenter progressivement selon efficacité et tolérance.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Zopiclone :</w:t>
      </w:r>
    </w:p>
    <w:p w:rsidR="00000000" w:rsidDel="00000000" w:rsidP="00000000" w:rsidRDefault="00000000" w:rsidRPr="00000000" w14:paraId="00000036">
      <w:pPr>
        <w:widowControl w:val="0"/>
        <w:numPr>
          <w:ilvl w:val="1"/>
          <w:numId w:val="6"/>
        </w:numPr>
        <w:ind w:left="144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 monographie du zopiclone recommande de débuter avec une dose de 3,75 mg lors de la combinaison avec un puissant inhibiteur du CYP3A4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4, 10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6"/>
        </w:numPr>
        <w:ind w:left="144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Santé Canada recommande de ne pas dépasser une dose de 5 mg de zopiclone lors de l’utilisation d’inhibiteurs puissants du 3A4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5, 10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Si le patient est déjà sous hypnotique/anxiolytique et que la thérapie antirétrovirale est débutée.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Diminuer les doses des hypnotiques/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anxiolytiqu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puis augmenter progressivement selon efficacité et tolérance.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Maintenir la dose prescrite et exercer un suivi étroit des effets indésirables pouvant survenir avec les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hypnotiques/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anxiolytiqu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Patient actuellement sous traitement avec cette association et la tolérant.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onserver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thérapie en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s’assurant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qu’un suivi étroit des effets indésirables  associés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aux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hypnotiques/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anxiolytiques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pouvant survenir avec une utilisation prolongée.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Solution de rechange aux hypnotiques/anxiolytiques métabolisés par le CYP3A4 :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Lorazepam (Ativan)________________________.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Oxazepam  (Serax)_________________________.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Temazepam (Restoril)_______________________.</w:t>
      </w:r>
    </w:p>
    <w:p w:rsidR="00000000" w:rsidDel="00000000" w:rsidP="00000000" w:rsidRDefault="00000000" w:rsidRPr="00000000" w14:paraId="0000004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Surveiller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efficacité et la toxicité (ataxie, étourdissements, somnolence, fatigue, faiblesse musculaire, ralentissement des réactions, etc.)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des hypnotiques/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anxiolytiques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4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4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 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Numéro de pratique : __________    Signature : __________</w:t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6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</w:p>
    <w:p w:rsidR="00000000" w:rsidDel="00000000" w:rsidP="00000000" w:rsidRDefault="00000000" w:rsidRPr="00000000" w14:paraId="0000006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Alprazolam (Xanax), Pfizer Canada Inc., Québec, Canada, 21 octobre 2014.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Greenblatt DJ, von Moltke LL, Harmatz JS, et al. Alprazolam-ritonavir interaction: Implications for product labeling. Clin Pharmacol Ther 2000;67:335-341.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Zolpidem (Sublinox), Valeant Canada S.E.C., Québec, Canada, 23 décembre 2014.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Zopiclone (Imovane), Sanofi-Aventis Canada Inc., Québec, Canada, 30 avril 2018.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Santé Canada. Imovane (Zopiclone) – Nouvelle posologie recommandée visant à réduire le risque d’affaiblissement des facultés du lendemain. Disponible 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2"/>
            <w:szCs w:val="22"/>
            <w:u w:val="single"/>
            <w:rtl w:val="0"/>
          </w:rPr>
          <w:t xml:space="preserve">http://canadiensensante.gc.ca/recall-alert-rappel-avis/hc-sc/2014/42253a-fra.php</w:t>
        </w:r>
      </w:hyperlink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Publié le 19 novembre 2014. Consulté en juillet 2018.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Aranko K, Luurila H, Backman JT et al. The effect of erythromycin on the pharmacokinetics and pharmacodynamics of zopiclone, British Journal of Clinical Pharmacology, 1994; 38(4): 363-367.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Hesse LM, von Moltke LL, Greenblatt DJ. Clinically important drug interactions with zopiclone, zolpidem and zaleplon. CNS Drugs 2003; 17 (7): 513-532.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 : Diazépam (Valium), Hoffmann-La Roche Limitée, Ontario, Canada, 17 avril 2018.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Monographie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: Ritonavir (Norvir), Corporation AbbVie, Québec, Canada, 27 novembre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ind w:left="714" w:hanging="357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 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2"/>
            <w:szCs w:val="22"/>
            <w:u w:val="single"/>
            <w:rtl w:val="0"/>
          </w:rPr>
          <w:t xml:space="preserve">http://www.guidetherapeutiquevih.com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tabs>
        <w:tab w:val="center" w:pos="4680"/>
        <w:tab w:val="right" w:pos="9360"/>
      </w:tabs>
      <w:contextualSpacing w:val="0"/>
      <w:rPr>
        <w:rFonts w:ascii="Calibri" w:cs="Calibri" w:eastAsia="Calibri" w:hAnsi="Calibri"/>
      </w:rPr>
    </w:pPr>
    <w:hyperlink r:id="rId1"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 </w:t>
    </w:r>
    <w:r w:rsidDel="00000000" w:rsidR="00000000" w:rsidRPr="00000000">
      <w:rPr>
        <w:rtl w:val="0"/>
      </w:rPr>
      <w:tab/>
      <w:tab/>
      <w:t xml:space="preserve">Septembre</w:t>
    </w:r>
    <w:r w:rsidDel="00000000" w:rsidR="00000000" w:rsidRPr="00000000">
      <w:rPr>
        <w:rFonts w:ascii="Calibri" w:cs="Calibri" w:eastAsia="Calibri" w:hAnsi="Calibri"/>
        <w:rtl w:val="0"/>
      </w:rPr>
      <w:t xml:space="preserve"> 201</w:t>
    </w:r>
    <w:r w:rsidDel="00000000" w:rsidR="00000000" w:rsidRPr="00000000">
      <w:rPr>
        <w:rtl w:val="0"/>
      </w:rPr>
      <w:t xml:space="preserve">8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://canadiensensante.gc.ca/recall-alert-rappel-avis/hc-sc/2014/42253a-fra.php" TargetMode="External"/><Relationship Id="rId7" Type="http://schemas.openxmlformats.org/officeDocument/2006/relationships/hyperlink" Target="http://www.guidetherapeutiquevih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