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A4A" w:rsidRPr="00FA6CB7" w:rsidRDefault="00CD5A4A" w:rsidP="00FB3328">
      <w:pPr>
        <w:jc w:val="center"/>
        <w:rPr>
          <w:rFonts w:eastAsia="Century Gothic"/>
          <w:lang w:val="fr-CA"/>
        </w:rPr>
      </w:pPr>
      <w:r w:rsidRPr="00FA6CB7">
        <w:rPr>
          <w:rFonts w:eastAsia="Century Gothic"/>
          <w:lang w:val="fr-CA"/>
        </w:rPr>
        <w:t>Opinion pharmaceutique</w:t>
      </w:r>
      <w:r w:rsidR="00FB3328" w:rsidRPr="00FA6CB7">
        <w:rPr>
          <w:rFonts w:eastAsia="Century Gothic"/>
          <w:lang w:val="fr-CA"/>
        </w:rPr>
        <w:t xml:space="preserve"> : </w:t>
      </w:r>
      <w:r w:rsidR="00251915" w:rsidRPr="00251915">
        <w:rPr>
          <w:rFonts w:eastAsia="Century Gothic"/>
          <w:b/>
          <w:lang w:val="fr-CA"/>
        </w:rPr>
        <w:t>Interaction entre les inducteurs puissants et les anti-VHC</w:t>
      </w:r>
    </w:p>
    <w:p w:rsidR="00CD5A4A" w:rsidRPr="00FA6CB7" w:rsidRDefault="00CD5A4A" w:rsidP="00CD5A4A">
      <w:pPr>
        <w:jc w:val="center"/>
        <w:rPr>
          <w:rFonts w:eastAsia="Century Gothic"/>
          <w:lang w:val="fr-CA"/>
        </w:rPr>
      </w:pPr>
    </w:p>
    <w:p w:rsidR="00CD5A4A" w:rsidRPr="00FA6CB7" w:rsidRDefault="00CD5A4A" w:rsidP="00CD5A4A">
      <w:pPr>
        <w:jc w:val="both"/>
        <w:rPr>
          <w:rFonts w:eastAsia="Century Gothic"/>
          <w:lang w:val="fr-CA"/>
        </w:rPr>
      </w:pPr>
      <w:r w:rsidRPr="00FA6CB7">
        <w:rPr>
          <w:rFonts w:eastAsia="Century Gothic"/>
          <w:lang w:val="fr-CA"/>
        </w:rPr>
        <w:t>Patient(</w:t>
      </w:r>
      <w:r w:rsidR="00F57980" w:rsidRPr="00FA6CB7">
        <w:rPr>
          <w:rFonts w:eastAsia="Century Gothic"/>
          <w:lang w:val="fr-CA"/>
        </w:rPr>
        <w:t>e) : _________________________   DDN</w:t>
      </w:r>
      <w:r w:rsidRPr="00FA6CB7">
        <w:rPr>
          <w:rFonts w:eastAsia="Century Gothic"/>
          <w:lang w:val="fr-CA"/>
        </w:rPr>
        <w:t>_____/_____/_____</w:t>
      </w:r>
      <w:r w:rsidR="00F57980" w:rsidRPr="00FA6CB7">
        <w:rPr>
          <w:rFonts w:eastAsia="Century Gothic"/>
          <w:lang w:val="fr-CA"/>
        </w:rPr>
        <w:t xml:space="preserve">   #</w:t>
      </w:r>
      <w:r w:rsidRPr="00FA6CB7">
        <w:rPr>
          <w:rFonts w:eastAsia="Century Gothic"/>
          <w:lang w:val="fr-CA"/>
        </w:rPr>
        <w:t>Téléphone :</w:t>
      </w:r>
      <w:r w:rsidR="00F57980" w:rsidRPr="00FA6CB7">
        <w:rPr>
          <w:rFonts w:eastAsia="Century Gothic"/>
          <w:lang w:val="fr-CA"/>
        </w:rPr>
        <w:t xml:space="preserve"> </w:t>
      </w:r>
      <w:r w:rsidRPr="00FA6CB7">
        <w:rPr>
          <w:rFonts w:eastAsia="Century Gothic"/>
          <w:lang w:val="fr-CA"/>
        </w:rPr>
        <w:t>______________________</w:t>
      </w:r>
    </w:p>
    <w:p w:rsidR="00CD5A4A" w:rsidRPr="00FA6CB7" w:rsidRDefault="00CD5A4A" w:rsidP="00CD5A4A">
      <w:pPr>
        <w:jc w:val="both"/>
        <w:rPr>
          <w:rFonts w:eastAsia="Century Gothic"/>
          <w:lang w:val="fr-CA"/>
        </w:rPr>
      </w:pPr>
    </w:p>
    <w:p w:rsidR="00CD5A4A" w:rsidRPr="00FA6CB7" w:rsidRDefault="00CD5A4A" w:rsidP="006A0FA7">
      <w:pPr>
        <w:rPr>
          <w:rFonts w:eastAsia="Century Gothic"/>
          <w:lang w:val="fr-CA"/>
        </w:rPr>
      </w:pPr>
      <w:r w:rsidRPr="00FA6CB7">
        <w:rPr>
          <w:rFonts w:eastAsia="Century Gothic"/>
          <w:lang w:val="fr-CA"/>
        </w:rPr>
        <w:t xml:space="preserve">Après avoir analysé le dossier de votre patient(e), j’ai relevé un problème relié à sa pharmacothérapie. </w:t>
      </w:r>
    </w:p>
    <w:p w:rsidR="00BE5D95" w:rsidRPr="005733C2" w:rsidRDefault="00BE5D95" w:rsidP="0071460A">
      <w:pPr>
        <w:tabs>
          <w:tab w:val="left" w:pos="7630"/>
          <w:tab w:val="left" w:pos="8511"/>
        </w:tabs>
        <w:rPr>
          <w:rFonts w:eastAsia="Century Gothic"/>
          <w:color w:val="000000"/>
          <w:lang w:val="fr-CA"/>
        </w:rPr>
      </w:pPr>
    </w:p>
    <w:p w:rsidR="00B906ED" w:rsidRDefault="00291C2D" w:rsidP="00B906ED">
      <w:pPr>
        <w:ind w:left="720"/>
        <w:rPr>
          <w:color w:val="000000"/>
          <w:lang w:val="fr-CA"/>
        </w:rPr>
      </w:pPr>
      <w:r>
        <w:rPr>
          <w:b/>
          <w:lang w:val="fr-CA"/>
        </w:rPr>
        <w:t>Glécaprévir</w:t>
      </w:r>
      <w:r w:rsidR="0055724E">
        <w:rPr>
          <w:b/>
          <w:lang w:val="fr-CA"/>
        </w:rPr>
        <w:t xml:space="preserve"> </w:t>
      </w:r>
      <w:r>
        <w:rPr>
          <w:b/>
          <w:lang w:val="fr-CA"/>
        </w:rPr>
        <w:t>/</w:t>
      </w:r>
      <w:r w:rsidR="0055724E">
        <w:rPr>
          <w:b/>
          <w:lang w:val="fr-CA"/>
        </w:rPr>
        <w:t xml:space="preserve"> </w:t>
      </w:r>
      <w:r>
        <w:rPr>
          <w:b/>
          <w:lang w:val="fr-CA"/>
        </w:rPr>
        <w:t>Pibrentasvir</w:t>
      </w:r>
      <w:r w:rsidR="006A0FA7">
        <w:rPr>
          <w:b/>
          <w:lang w:val="fr-CA"/>
        </w:rPr>
        <w:t xml:space="preserve"> </w:t>
      </w:r>
      <w:r w:rsidR="002B66D9">
        <w:rPr>
          <w:b/>
          <w:lang w:val="fr-CA"/>
        </w:rPr>
        <w:t>(</w:t>
      </w:r>
      <w:r>
        <w:rPr>
          <w:b/>
          <w:lang w:val="fr-CA"/>
        </w:rPr>
        <w:t>Maviret</w:t>
      </w:r>
      <w:r w:rsidR="002B66D9">
        <w:rPr>
          <w:b/>
          <w:lang w:val="fr-CA"/>
        </w:rPr>
        <w:t>)</w:t>
      </w:r>
      <w:r w:rsidR="00B906ED">
        <w:rPr>
          <w:color w:val="000000"/>
          <w:lang w:val="fr-CA"/>
        </w:rPr>
        <w:t xml:space="preserve"> </w:t>
      </w:r>
      <w:r w:rsidR="00B93894">
        <w:rPr>
          <w:color w:val="000000"/>
          <w:lang w:val="fr-CA"/>
        </w:rPr>
        <w:t xml:space="preserve">     </w:t>
      </w:r>
      <w:r w:rsidR="00A32F36" w:rsidRPr="00B906ED">
        <w:rPr>
          <w:b/>
          <w:color w:val="000000"/>
          <w:lang w:val="fr-CA"/>
        </w:rPr>
        <w:t xml:space="preserve"> </w:t>
      </w:r>
      <w:r w:rsidR="00FB3328" w:rsidRPr="00B906ED">
        <w:rPr>
          <w:b/>
          <w:color w:val="000000"/>
          <w:lang w:val="fr-CA"/>
        </w:rPr>
        <w:t>et</w:t>
      </w:r>
      <w:r w:rsidR="00251915">
        <w:rPr>
          <w:color w:val="000000"/>
          <w:lang w:val="fr-CA"/>
        </w:rPr>
        <w:t xml:space="preserve">   </w:t>
      </w:r>
    </w:p>
    <w:p w:rsidR="00B906ED" w:rsidRDefault="00B906ED" w:rsidP="00B906ED">
      <w:pPr>
        <w:ind w:left="720"/>
        <w:rPr>
          <w:b/>
          <w:lang w:val="fr-CA"/>
        </w:rPr>
      </w:pPr>
    </w:p>
    <w:p w:rsidR="00B906ED" w:rsidRDefault="00B906ED" w:rsidP="00B906ED">
      <w:pPr>
        <w:ind w:left="720"/>
        <w:rPr>
          <w:color w:val="000000"/>
          <w:lang w:val="fr-CA"/>
        </w:rPr>
      </w:pPr>
      <w:r>
        <w:rPr>
          <w:b/>
          <w:lang w:val="fr-CA"/>
        </w:rPr>
        <w:t>Anticonvulsivants</w:t>
      </w:r>
    </w:p>
    <w:p w:rsidR="00B906ED" w:rsidRDefault="00B906ED" w:rsidP="00B906ED">
      <w:pPr>
        <w:pStyle w:val="Paragraphedeliste"/>
        <w:numPr>
          <w:ilvl w:val="0"/>
          <w:numId w:val="5"/>
        </w:numPr>
        <w:rPr>
          <w:color w:val="000000"/>
          <w:lang w:val="fr-CA"/>
        </w:rPr>
      </w:pPr>
      <w:r w:rsidRPr="00B906ED">
        <w:rPr>
          <w:color w:val="000000"/>
          <w:lang w:val="fr-CA"/>
        </w:rPr>
        <w:t>Carbamazépine (Tegretol)</w:t>
      </w:r>
    </w:p>
    <w:p w:rsidR="00B906ED" w:rsidRDefault="00B906ED" w:rsidP="00B906ED">
      <w:pPr>
        <w:pStyle w:val="Paragraphedeliste"/>
        <w:numPr>
          <w:ilvl w:val="0"/>
          <w:numId w:val="5"/>
        </w:numPr>
        <w:rPr>
          <w:color w:val="000000"/>
          <w:lang w:val="fr-CA"/>
        </w:rPr>
      </w:pPr>
      <w:r w:rsidRPr="00B906ED">
        <w:rPr>
          <w:color w:val="000000"/>
          <w:lang w:val="fr-CA"/>
        </w:rPr>
        <w:t>Oxcarbazépine (Trileptal)</w:t>
      </w:r>
    </w:p>
    <w:p w:rsidR="00B906ED" w:rsidRPr="00B906ED" w:rsidRDefault="00B906ED" w:rsidP="00B906ED">
      <w:pPr>
        <w:pStyle w:val="Paragraphedeliste"/>
        <w:numPr>
          <w:ilvl w:val="0"/>
          <w:numId w:val="5"/>
        </w:numPr>
        <w:rPr>
          <w:color w:val="000000"/>
          <w:lang w:val="fr-CA"/>
        </w:rPr>
      </w:pPr>
      <w:r w:rsidRPr="00B906ED">
        <w:rPr>
          <w:color w:val="000000"/>
          <w:lang w:val="fr-CA"/>
        </w:rPr>
        <w:t>Phénobarbital (Luminal)</w:t>
      </w:r>
    </w:p>
    <w:p w:rsidR="00D05073" w:rsidRPr="00B906ED" w:rsidRDefault="00B906ED" w:rsidP="00B906ED">
      <w:pPr>
        <w:pStyle w:val="Paragraphedeliste"/>
        <w:numPr>
          <w:ilvl w:val="0"/>
          <w:numId w:val="5"/>
        </w:numPr>
        <w:rPr>
          <w:color w:val="000000"/>
          <w:lang w:val="fr-CA"/>
        </w:rPr>
      </w:pPr>
      <w:r w:rsidRPr="00B906ED">
        <w:rPr>
          <w:color w:val="000000"/>
          <w:lang w:val="fr-CA"/>
        </w:rPr>
        <w:t>Phénytoïne (Dilantin)</w:t>
      </w:r>
      <w:r w:rsidR="00251915" w:rsidRPr="00B906ED">
        <w:rPr>
          <w:color w:val="000000"/>
          <w:lang w:val="fr-CA"/>
        </w:rPr>
        <w:t xml:space="preserve">   </w:t>
      </w:r>
      <w:r w:rsidR="00744FF3" w:rsidRPr="00B906ED">
        <w:rPr>
          <w:color w:val="000000"/>
          <w:lang w:val="fr-CA"/>
        </w:rPr>
        <w:t xml:space="preserve">  </w:t>
      </w:r>
      <w:r w:rsidR="005B70C4" w:rsidRPr="00B906ED">
        <w:rPr>
          <w:color w:val="000000"/>
          <w:lang w:val="fr-CA"/>
        </w:rPr>
        <w:t xml:space="preserve"> </w:t>
      </w:r>
    </w:p>
    <w:p w:rsidR="00F57980" w:rsidRPr="00F57980" w:rsidRDefault="00F57980" w:rsidP="00F57980">
      <w:pPr>
        <w:rPr>
          <w:color w:val="000000"/>
          <w:lang w:val="fr-CA"/>
        </w:rPr>
      </w:pPr>
    </w:p>
    <w:p w:rsidR="00251915" w:rsidRDefault="00251915" w:rsidP="00251915">
      <w:pPr>
        <w:spacing w:after="160" w:line="259" w:lineRule="auto"/>
        <w:jc w:val="both"/>
        <w:rPr>
          <w:rFonts w:eastAsia="Century Gothic"/>
          <w:lang w:val="fr-CA"/>
        </w:rPr>
      </w:pPr>
      <w:r w:rsidRPr="00B50B31">
        <w:rPr>
          <w:rFonts w:eastAsia="Century Gothic"/>
          <w:b/>
          <w:lang w:val="fr-CA"/>
        </w:rPr>
        <w:t xml:space="preserve">Mécanisme d’interaction : </w:t>
      </w:r>
      <w:r w:rsidRPr="00B50B31">
        <w:rPr>
          <w:rFonts w:eastAsia="Century Gothic"/>
          <w:lang w:val="fr-CA"/>
        </w:rPr>
        <w:t>La carbamazépine, l’oxcarbazépine, le phénobarbital, la phénytoïne, la rifampicine et le millepertuis sont des inducteurs puissants des cytochromes et du transporteur P-gp. Les anti-VHC mentionnés ci-haut sont des substrats du CYP3A4 et/ou de la P-gp. Cette induction peut donc diminuer de façon significative la concentration plasmatique des anti-VHC nommés ci-haut, entraînant ainsi une perte de l’efficacité clinique.</w:t>
      </w:r>
    </w:p>
    <w:p w:rsidR="00251915" w:rsidRPr="00B50B31" w:rsidRDefault="00251915" w:rsidP="00251915">
      <w:pPr>
        <w:ind w:left="720"/>
        <w:contextualSpacing/>
        <w:jc w:val="center"/>
        <w:rPr>
          <w:rFonts w:eastAsia="Century Gothic"/>
          <w:b/>
          <w:i/>
          <w:lang w:val="fr-CA"/>
        </w:rPr>
      </w:pPr>
      <w:bookmarkStart w:id="0" w:name="bmAutoText1"/>
      <w:r>
        <w:rPr>
          <w:rFonts w:eastAsia="Century Gothic"/>
          <w:b/>
          <w:i/>
          <w:lang w:val="fr-CA"/>
        </w:rPr>
        <w:t xml:space="preserve">Anti-VHC </w:t>
      </w:r>
      <w:r w:rsidRPr="00001B9F">
        <w:rPr>
          <w:rFonts w:eastAsia="Century Gothic"/>
          <w:b/>
          <w:i/>
          <w:lang w:val="fr-CA"/>
        </w:rPr>
        <w:t xml:space="preserve">et </w:t>
      </w:r>
      <w:r w:rsidR="00B906ED">
        <w:rPr>
          <w:rFonts w:eastAsia="Century Gothic"/>
          <w:b/>
          <w:i/>
          <w:lang w:val="fr-CA"/>
        </w:rPr>
        <w:t>anticonvulsivants</w:t>
      </w:r>
      <w:r>
        <w:rPr>
          <w:rFonts w:eastAsia="Century Gothic"/>
          <w:b/>
          <w:i/>
          <w:lang w:val="fr-CA"/>
        </w:rPr>
        <w:t xml:space="preserve"> </w:t>
      </w:r>
    </w:p>
    <w:p w:rsidR="00251915" w:rsidRPr="00B50B31" w:rsidRDefault="00251915" w:rsidP="00251915">
      <w:pPr>
        <w:ind w:left="360"/>
        <w:jc w:val="both"/>
        <w:rPr>
          <w:rFonts w:eastAsia="Century Gothic"/>
          <w:lang w:val="fr-CA"/>
        </w:rPr>
      </w:pPr>
    </w:p>
    <w:bookmarkEnd w:id="0"/>
    <w:p w:rsidR="0055724E" w:rsidRPr="005414A7" w:rsidRDefault="0055724E" w:rsidP="0055724E">
      <w:pPr>
        <w:rPr>
          <w:rFonts w:eastAsia="Century Gothic"/>
          <w:lang w:val="fr-CA"/>
        </w:rPr>
      </w:pPr>
      <w:r w:rsidRPr="005414A7">
        <w:rPr>
          <w:rFonts w:eastAsia="Century Gothic"/>
          <w:u w:val="single"/>
          <w:lang w:val="fr-CA"/>
        </w:rPr>
        <w:t>Information supplémentaire :</w:t>
      </w:r>
    </w:p>
    <w:p w:rsidR="00B906ED" w:rsidRDefault="0055724E" w:rsidP="0055724E">
      <w:pPr>
        <w:jc w:val="both"/>
        <w:rPr>
          <w:rFonts w:eastAsia="Century Gothic"/>
          <w:lang w:val="fr-CA"/>
        </w:rPr>
      </w:pPr>
      <w:r w:rsidRPr="0055724E">
        <w:rPr>
          <w:rFonts w:eastAsia="Century Gothic"/>
          <w:lang w:val="fr-CA"/>
        </w:rPr>
        <w:t>Glécaprévir/Pibrentasvir (Maviret)</w:t>
      </w:r>
      <w:r w:rsidRPr="005414A7">
        <w:rPr>
          <w:rFonts w:eastAsia="Century Gothic"/>
          <w:lang w:val="fr-CA"/>
        </w:rPr>
        <w:t xml:space="preserve"> + </w:t>
      </w:r>
      <w:r>
        <w:rPr>
          <w:rFonts w:eastAsia="Century Gothic"/>
          <w:lang w:val="fr-CA"/>
        </w:rPr>
        <w:t>Carbamazép</w:t>
      </w:r>
      <w:r w:rsidRPr="005414A7">
        <w:rPr>
          <w:rFonts w:eastAsia="Century Gothic"/>
          <w:lang w:val="fr-CA"/>
        </w:rPr>
        <w:t xml:space="preserve">ine </w:t>
      </w:r>
      <w:r>
        <w:rPr>
          <w:rFonts w:eastAsia="Century Gothic"/>
          <w:lang w:val="fr-CA"/>
        </w:rPr>
        <w:t>20</w:t>
      </w:r>
      <w:r w:rsidRPr="005414A7">
        <w:rPr>
          <w:rFonts w:eastAsia="Century Gothic"/>
          <w:lang w:val="fr-CA"/>
        </w:rPr>
        <w:t>0 mg </w:t>
      </w:r>
      <w:r>
        <w:rPr>
          <w:rFonts w:eastAsia="Century Gothic"/>
          <w:lang w:val="fr-CA"/>
        </w:rPr>
        <w:t>BID</w:t>
      </w:r>
      <w:r w:rsidRPr="005414A7">
        <w:rPr>
          <w:rFonts w:eastAsia="Century Gothic"/>
          <w:lang w:val="fr-CA"/>
        </w:rPr>
        <w:t xml:space="preserve"> : </w:t>
      </w:r>
      <w:r>
        <w:rPr>
          <w:rFonts w:eastAsia="Century Gothic"/>
          <w:lang w:val="fr-CA"/>
        </w:rPr>
        <w:t>↓66% et ↓51% de</w:t>
      </w:r>
      <w:r w:rsidRPr="005414A7">
        <w:rPr>
          <w:rFonts w:eastAsia="Century Gothic"/>
          <w:lang w:val="fr-CA"/>
        </w:rPr>
        <w:t xml:space="preserve"> la SSC </w:t>
      </w:r>
      <w:r>
        <w:rPr>
          <w:rFonts w:eastAsia="Century Gothic"/>
          <w:lang w:val="fr-CA"/>
        </w:rPr>
        <w:t>du glécaprévir et du pibrentasvir, respectivement</w:t>
      </w:r>
      <w:r w:rsidRPr="005414A7">
        <w:rPr>
          <w:rFonts w:eastAsia="Century Gothic"/>
          <w:lang w:val="fr-CA"/>
        </w:rPr>
        <w:t xml:space="preserve">. </w:t>
      </w:r>
      <w:r w:rsidR="00B906ED" w:rsidRPr="00C812A0">
        <w:rPr>
          <w:rFonts w:eastAsia="Century Gothic"/>
          <w:lang w:val="fr-CA"/>
        </w:rPr>
        <w:t xml:space="preserve">L’association </w:t>
      </w:r>
      <w:r>
        <w:rPr>
          <w:rFonts w:eastAsia="Century Gothic"/>
          <w:lang w:val="fr-CA"/>
        </w:rPr>
        <w:t>avec les autres anticonvulsivants</w:t>
      </w:r>
      <w:r w:rsidR="00B906ED" w:rsidRPr="00C812A0">
        <w:rPr>
          <w:rFonts w:eastAsia="Century Gothic"/>
          <w:lang w:val="fr-CA"/>
        </w:rPr>
        <w:t xml:space="preserve"> n'a pas été étudiée. </w:t>
      </w:r>
      <w:r>
        <w:rPr>
          <w:rFonts w:eastAsia="Century Gothic"/>
          <w:lang w:val="fr-CA"/>
        </w:rPr>
        <w:t>S</w:t>
      </w:r>
      <w:r w:rsidR="00B906ED" w:rsidRPr="00C812A0">
        <w:rPr>
          <w:rFonts w:eastAsia="Century Gothic"/>
          <w:lang w:val="fr-CA"/>
        </w:rPr>
        <w:t xml:space="preserve">elon </w:t>
      </w:r>
      <w:r>
        <w:rPr>
          <w:rFonts w:eastAsia="Century Gothic"/>
          <w:lang w:val="fr-CA"/>
        </w:rPr>
        <w:t>la monographie</w:t>
      </w:r>
      <w:r w:rsidR="00B906ED" w:rsidRPr="00C812A0">
        <w:rPr>
          <w:rFonts w:eastAsia="Century Gothic"/>
          <w:lang w:val="fr-CA"/>
        </w:rPr>
        <w:t xml:space="preserve">, l'utilisation concomitante avec de puissants inducteurs du CYP 3A4 </w:t>
      </w:r>
      <w:r>
        <w:rPr>
          <w:rFonts w:eastAsia="Century Gothic"/>
          <w:lang w:val="fr-CA"/>
        </w:rPr>
        <w:t>comme</w:t>
      </w:r>
      <w:r w:rsidR="00B906ED" w:rsidRPr="00C812A0">
        <w:rPr>
          <w:rFonts w:eastAsia="Century Gothic"/>
          <w:lang w:val="fr-CA"/>
        </w:rPr>
        <w:t xml:space="preserve"> la carbamazépine, l’oxcarbazépine, le phénobarbital et la phénytoïne est non recommandée.</w:t>
      </w:r>
    </w:p>
    <w:p w:rsidR="000761B7" w:rsidRDefault="000761B7" w:rsidP="0055724E">
      <w:pPr>
        <w:jc w:val="both"/>
        <w:rPr>
          <w:lang w:val="fr-CA"/>
        </w:rPr>
      </w:pPr>
    </w:p>
    <w:p w:rsidR="000761B7" w:rsidRPr="00C812A0" w:rsidRDefault="000761B7" w:rsidP="0055724E">
      <w:pPr>
        <w:jc w:val="both"/>
        <w:rPr>
          <w:lang w:val="fr-CA"/>
        </w:rPr>
      </w:pPr>
      <w:r w:rsidRPr="000761B7">
        <w:rPr>
          <w:b/>
          <w:lang w:val="fr-CA"/>
        </w:rPr>
        <w:t>Rapport de cas de cinq patients</w:t>
      </w:r>
      <w:r w:rsidRPr="000761B7">
        <w:rPr>
          <w:lang w:val="fr-CA"/>
        </w:rPr>
        <w:t xml:space="preserve"> qui ont reçu des doses standards pour le traitement d'une infection à l'hépatite C chronique tout en étant ma</w:t>
      </w:r>
      <w:bookmarkStart w:id="1" w:name="_GoBack"/>
      <w:bookmarkEnd w:id="1"/>
      <w:r w:rsidRPr="000761B7">
        <w:rPr>
          <w:lang w:val="fr-CA"/>
        </w:rPr>
        <w:t>intenu sur des anticonvulsivants de première génération (carbamazépine, phénobarbital, phénytoïne). Quatre patients étaient traités avec glécaprévir/pibrentasvir pendant 8 semaines et un patient avec lédipasvir/sofosbuvir pendant 12 semaines. Les cinq patients ont obtenu une réponse virologique soutenue (RVS) malgré cette interaction médicamenteuse. Les auteurs concluent que tous les efforts nécessaires pour empêcher l'utilisation concomitante avec de puissants inducteurs doivent être faits.</w:t>
      </w:r>
    </w:p>
    <w:p w:rsidR="00B906ED" w:rsidRPr="00C812A0" w:rsidRDefault="00B906ED" w:rsidP="00B906ED">
      <w:pPr>
        <w:tabs>
          <w:tab w:val="left" w:pos="1965"/>
        </w:tabs>
        <w:rPr>
          <w:lang w:val="fr-CA"/>
        </w:rPr>
      </w:pPr>
    </w:p>
    <w:p w:rsidR="00B906ED" w:rsidRDefault="00B906ED" w:rsidP="00B906ED">
      <w:pPr>
        <w:tabs>
          <w:tab w:val="left" w:pos="1965"/>
        </w:tabs>
        <w:rPr>
          <w:rFonts w:eastAsia="Century Gothic"/>
          <w:lang w:val="fr-CA"/>
        </w:rPr>
      </w:pPr>
      <w:r>
        <w:rPr>
          <w:rFonts w:eastAsia="Century Gothic"/>
          <w:u w:val="single"/>
          <w:lang w:val="fr-CA"/>
        </w:rPr>
        <w:t>Options thérapeutiques possibles :</w:t>
      </w:r>
      <w:r>
        <w:rPr>
          <w:rFonts w:eastAsia="Century Gothic"/>
          <w:lang w:val="fr-CA"/>
        </w:rPr>
        <w:t xml:space="preserve">    </w:t>
      </w:r>
      <w:r>
        <w:rPr>
          <w:rFonts w:eastAsia="Century Gothic"/>
          <w:b/>
          <w:lang w:val="fr-CA"/>
        </w:rPr>
        <w:t>Nom de l’anticonvulsivant</w:t>
      </w:r>
      <w:r>
        <w:rPr>
          <w:rFonts w:eastAsia="Century Gothic"/>
          <w:lang w:val="fr-CA"/>
        </w:rPr>
        <w:t> : _____________________</w:t>
      </w:r>
    </w:p>
    <w:p w:rsidR="00B906ED" w:rsidRDefault="00B906ED" w:rsidP="00B906ED">
      <w:pPr>
        <w:tabs>
          <w:tab w:val="left" w:pos="1965"/>
        </w:tabs>
        <w:rPr>
          <w:rFonts w:eastAsia="Century Gothic"/>
          <w:lang w:val="fr-CA"/>
        </w:rPr>
      </w:pPr>
    </w:p>
    <w:p w:rsidR="00B906ED" w:rsidRPr="00C812A0" w:rsidRDefault="00B906ED" w:rsidP="00AA3962">
      <w:pPr>
        <w:pStyle w:val="Paragraphedeliste"/>
        <w:numPr>
          <w:ilvl w:val="0"/>
          <w:numId w:val="1"/>
        </w:numPr>
        <w:rPr>
          <w:rFonts w:eastAsia="Century Gothic"/>
          <w:lang w:val="fr-CA"/>
        </w:rPr>
      </w:pPr>
      <w:r w:rsidRPr="00C812A0">
        <w:rPr>
          <w:rFonts w:eastAsia="Century Gothic"/>
          <w:lang w:val="fr-CA"/>
        </w:rPr>
        <w:t>Substituer l’anticonvulsivant pour : Gabapentine, Prégabaline</w:t>
      </w:r>
      <w:r w:rsidR="00AA3962">
        <w:rPr>
          <w:rFonts w:eastAsia="Century Gothic"/>
          <w:lang w:val="fr-CA"/>
        </w:rPr>
        <w:t>,</w:t>
      </w:r>
      <w:r w:rsidRPr="00C812A0">
        <w:rPr>
          <w:rFonts w:eastAsia="Century Gothic"/>
          <w:lang w:val="fr-CA"/>
        </w:rPr>
        <w:t xml:space="preserve"> Lévétiracétam</w:t>
      </w:r>
      <w:r w:rsidR="00AA3962">
        <w:rPr>
          <w:rFonts w:eastAsia="Century Gothic"/>
          <w:lang w:val="fr-CA"/>
        </w:rPr>
        <w:t>, B</w:t>
      </w:r>
      <w:r w:rsidR="00AA3962" w:rsidRPr="00AA3962">
        <w:rPr>
          <w:rFonts w:eastAsia="Century Gothic"/>
          <w:lang w:val="fr-CA"/>
        </w:rPr>
        <w:t>rivarac</w:t>
      </w:r>
      <w:r w:rsidR="00AA3962">
        <w:rPr>
          <w:rFonts w:eastAsia="Century Gothic"/>
          <w:lang w:val="fr-CA"/>
        </w:rPr>
        <w:t>é</w:t>
      </w:r>
      <w:r w:rsidR="00AA3962" w:rsidRPr="00AA3962">
        <w:rPr>
          <w:rFonts w:eastAsia="Century Gothic"/>
          <w:lang w:val="fr-CA"/>
        </w:rPr>
        <w:t xml:space="preserve">tam, </w:t>
      </w:r>
      <w:r w:rsidR="00AA3962">
        <w:rPr>
          <w:rFonts w:eastAsia="Century Gothic"/>
          <w:lang w:val="fr-CA"/>
        </w:rPr>
        <w:t>ou A</w:t>
      </w:r>
      <w:r w:rsidR="00AA3962" w:rsidRPr="00AA3962">
        <w:rPr>
          <w:rFonts w:eastAsia="Century Gothic"/>
          <w:lang w:val="fr-CA"/>
        </w:rPr>
        <w:t>cide valproïque</w:t>
      </w:r>
      <w:r w:rsidR="00AA3962">
        <w:rPr>
          <w:rFonts w:eastAsia="Century Gothic"/>
          <w:lang w:val="fr-CA"/>
        </w:rPr>
        <w:t>.</w:t>
      </w:r>
    </w:p>
    <w:p w:rsidR="00B906ED" w:rsidRPr="00C812A0" w:rsidRDefault="00B906ED" w:rsidP="00B906ED">
      <w:pPr>
        <w:ind w:left="360"/>
        <w:rPr>
          <w:rFonts w:eastAsia="Century Gothic"/>
          <w:lang w:val="fr-CA"/>
        </w:rPr>
      </w:pPr>
    </w:p>
    <w:p w:rsidR="00B906ED" w:rsidRDefault="00B906ED" w:rsidP="00B906ED">
      <w:pPr>
        <w:ind w:left="360" w:firstLine="360"/>
        <w:rPr>
          <w:rFonts w:eastAsia="Century Gothic"/>
        </w:rPr>
      </w:pPr>
      <w:r>
        <w:rPr>
          <w:rFonts w:eastAsia="Century Gothic"/>
        </w:rPr>
        <w:t>Posologie : _________________________________________________________________ REN : _______</w:t>
      </w:r>
    </w:p>
    <w:p w:rsidR="00B906ED" w:rsidRDefault="00B906ED" w:rsidP="00B906ED">
      <w:pPr>
        <w:rPr>
          <w:rFonts w:eastAsia="Century Gothic"/>
        </w:rPr>
      </w:pPr>
    </w:p>
    <w:p w:rsidR="00B906ED" w:rsidRDefault="00B906ED" w:rsidP="00B906ED">
      <w:pPr>
        <w:pStyle w:val="Paragraphedeliste"/>
        <w:numPr>
          <w:ilvl w:val="0"/>
          <w:numId w:val="1"/>
        </w:numPr>
        <w:jc w:val="both"/>
        <w:rPr>
          <w:rFonts w:eastAsia="Century Gothic"/>
        </w:rPr>
      </w:pPr>
      <w:r>
        <w:rPr>
          <w:rFonts w:eastAsia="Century Gothic"/>
        </w:rPr>
        <w:t>Autre :_____________________________________________________________________ REN : _______</w:t>
      </w:r>
    </w:p>
    <w:p w:rsidR="00B906ED" w:rsidRPr="00E315C4" w:rsidRDefault="00B906ED" w:rsidP="00B906ED">
      <w:pPr>
        <w:spacing w:after="160" w:line="259" w:lineRule="auto"/>
        <w:jc w:val="both"/>
        <w:rPr>
          <w:rFonts w:eastAsia="Century Gothic"/>
          <w:b/>
          <w:lang w:val="fr-CA"/>
        </w:rPr>
      </w:pPr>
    </w:p>
    <w:p w:rsidR="00251915" w:rsidRDefault="00B906ED" w:rsidP="00B906ED">
      <w:pPr>
        <w:rPr>
          <w:rFonts w:eastAsia="Century Gothic"/>
          <w:lang w:val="fr-CA"/>
        </w:rPr>
      </w:pPr>
      <w:r w:rsidRPr="00B50B31">
        <w:rPr>
          <w:rFonts w:eastAsia="Century Gothic"/>
          <w:b/>
          <w:lang w:val="fr-CA"/>
        </w:rPr>
        <w:t xml:space="preserve">Suivi : </w:t>
      </w:r>
      <w:r w:rsidRPr="00B50B31">
        <w:rPr>
          <w:rFonts w:eastAsia="Century Gothic"/>
          <w:lang w:val="fr-CA"/>
        </w:rPr>
        <w:t>Efficacité des anti-</w:t>
      </w:r>
      <w:r w:rsidR="008D62D5">
        <w:rPr>
          <w:rFonts w:eastAsia="Century Gothic"/>
          <w:lang w:val="fr-CA"/>
        </w:rPr>
        <w:t>VHC</w:t>
      </w:r>
      <w:r w:rsidRPr="00B50B31">
        <w:rPr>
          <w:rFonts w:eastAsia="Century Gothic"/>
          <w:lang w:val="fr-CA"/>
        </w:rPr>
        <w:t xml:space="preserve"> et l’efficacité et l’innocuité du médicament choisi comme solution de rechange.</w:t>
      </w:r>
    </w:p>
    <w:p w:rsidR="00251915" w:rsidRDefault="00251915" w:rsidP="00251915">
      <w:pPr>
        <w:rPr>
          <w:rFonts w:eastAsia="Century Gothic"/>
          <w:lang w:val="fr-CA"/>
        </w:rPr>
      </w:pPr>
    </w:p>
    <w:p w:rsidR="000761B7" w:rsidRDefault="000761B7" w:rsidP="00251915">
      <w:pPr>
        <w:rPr>
          <w:rFonts w:eastAsia="Century Gothic"/>
          <w:lang w:val="fr-CA"/>
        </w:rPr>
      </w:pPr>
    </w:p>
    <w:p w:rsidR="00173AEA" w:rsidRPr="00251915" w:rsidRDefault="00173AEA" w:rsidP="00251915">
      <w:pPr>
        <w:rPr>
          <w:rFonts w:eastAsia="Century Gothic"/>
          <w:lang w:val="fr-CA"/>
        </w:rPr>
      </w:pPr>
      <w:r w:rsidRPr="00FA6CB7">
        <w:rPr>
          <w:rFonts w:eastAsia="Century Gothic"/>
          <w:lang w:val="fr-CA"/>
        </w:rPr>
        <w:lastRenderedPageBreak/>
        <w:t xml:space="preserve">N’hésitez pas à communiquer avec nous pour de l’information supplémentaire. </w:t>
      </w:r>
      <w:r w:rsidRPr="00FA6CB7">
        <w:rPr>
          <w:rFonts w:eastAsia="Century Gothic"/>
          <w:lang w:val="fr-CA"/>
        </w:rPr>
        <w:br/>
      </w:r>
      <w:r w:rsidRPr="00251915">
        <w:rPr>
          <w:rFonts w:eastAsia="Century Gothic"/>
          <w:lang w:val="fr-CA"/>
        </w:rPr>
        <w:t>En toute collaboration,</w:t>
      </w:r>
    </w:p>
    <w:p w:rsidR="00A7767A" w:rsidRPr="00251915" w:rsidRDefault="00173AEA" w:rsidP="00A7767A">
      <w:pPr>
        <w:ind w:left="720" w:firstLine="720"/>
        <w:jc w:val="both"/>
        <w:rPr>
          <w:rFonts w:eastAsia="Century Gothic"/>
          <w:lang w:val="fr-CA"/>
        </w:rPr>
      </w:pPr>
      <w:r w:rsidRPr="00251915">
        <w:rPr>
          <w:rFonts w:eastAsia="Century Gothic"/>
          <w:lang w:val="fr-CA"/>
        </w:rPr>
        <w:t>Pharmacie(ne) :</w:t>
      </w:r>
      <w:r w:rsidR="00A15FA1" w:rsidRPr="00251915">
        <w:rPr>
          <w:rFonts w:eastAsia="Century Gothic"/>
          <w:lang w:val="fr-CA"/>
        </w:rPr>
        <w:t xml:space="preserve"> </w:t>
      </w:r>
      <w:r w:rsidRPr="00251915">
        <w:rPr>
          <w:rFonts w:eastAsia="Century Gothic"/>
          <w:lang w:val="fr-CA"/>
        </w:rPr>
        <w:t>_____________</w:t>
      </w:r>
      <w:r w:rsidR="00A7767A" w:rsidRPr="00251915">
        <w:rPr>
          <w:rFonts w:eastAsia="Century Gothic"/>
          <w:lang w:val="fr-CA"/>
        </w:rPr>
        <w:t>____________________</w:t>
      </w:r>
      <w:r w:rsidRPr="00251915">
        <w:rPr>
          <w:rFonts w:eastAsia="Century Gothic"/>
          <w:lang w:val="fr-CA"/>
        </w:rPr>
        <w:t>____________</w:t>
      </w:r>
    </w:p>
    <w:p w:rsidR="00FA6CB7" w:rsidRPr="00251915" w:rsidRDefault="00A7767A" w:rsidP="00A7767A">
      <w:pPr>
        <w:ind w:left="1440"/>
        <w:rPr>
          <w:rFonts w:eastAsia="Century Gothic"/>
          <w:lang w:val="fr-CA"/>
        </w:rPr>
      </w:pPr>
      <w:r w:rsidRPr="00251915">
        <w:rPr>
          <w:rFonts w:eastAsia="Century Gothic"/>
          <w:color w:val="000000"/>
          <w:sz w:val="10"/>
          <w:szCs w:val="10"/>
          <w:lang w:val="fr-CA"/>
        </w:rPr>
        <w:br/>
      </w:r>
      <w:r w:rsidR="00173AEA" w:rsidRPr="00251915">
        <w:rPr>
          <w:rFonts w:eastAsia="Century Gothic"/>
          <w:color w:val="000000"/>
          <w:lang w:val="fr-CA"/>
        </w:rPr>
        <w:t>#Téléphone :</w:t>
      </w:r>
      <w:r w:rsidRPr="00251915">
        <w:rPr>
          <w:rFonts w:eastAsia="Century Gothic"/>
          <w:color w:val="000000"/>
          <w:lang w:val="fr-CA"/>
        </w:rPr>
        <w:t xml:space="preserve"> ________________</w:t>
      </w:r>
      <w:r w:rsidR="00173AEA" w:rsidRPr="00251915">
        <w:rPr>
          <w:rFonts w:eastAsia="Century Gothic"/>
          <w:color w:val="000000"/>
          <w:lang w:val="fr-CA"/>
        </w:rPr>
        <w:t>______</w:t>
      </w:r>
      <w:r w:rsidR="00173AEA" w:rsidRPr="00251915">
        <w:rPr>
          <w:rFonts w:ascii="Arial" w:eastAsia="Century Gothic" w:hAnsi="Arial" w:cs="Arial"/>
          <w:color w:val="000000"/>
          <w:lang w:val="fr-CA"/>
        </w:rPr>
        <w:t>​</w:t>
      </w:r>
      <w:r w:rsidRPr="00251915">
        <w:rPr>
          <w:rFonts w:ascii="Arial" w:eastAsia="Century Gothic" w:hAnsi="Arial" w:cs="Arial"/>
          <w:color w:val="000000"/>
          <w:lang w:val="fr-CA"/>
        </w:rPr>
        <w:t xml:space="preserve"> </w:t>
      </w:r>
      <w:r w:rsidRPr="00251915">
        <w:rPr>
          <w:rFonts w:eastAsia="Century Gothic"/>
          <w:color w:val="000000"/>
          <w:lang w:val="fr-CA"/>
        </w:rPr>
        <w:t xml:space="preserve">#Télécopieur : __________________________       </w:t>
      </w:r>
      <w:r w:rsidR="002B66D9" w:rsidRPr="00251915">
        <w:rPr>
          <w:rFonts w:eastAsia="Century Gothic"/>
          <w:color w:val="000000"/>
          <w:lang w:val="fr-CA"/>
        </w:rPr>
        <w:br/>
      </w:r>
    </w:p>
    <w:p w:rsidR="009F6D25" w:rsidRPr="00751E2D" w:rsidRDefault="00385217" w:rsidP="00735E6F">
      <w:pPr>
        <w:ind w:left="360"/>
        <w:jc w:val="both"/>
        <w:rPr>
          <w:rFonts w:eastAsia="Century Gothic"/>
        </w:rPr>
      </w:pPr>
      <w:r>
        <w:rPr>
          <w:noProof/>
          <w:lang w:val="fr-CA" w:eastAsia="fr-CA"/>
        </w:rPr>
        <mc:AlternateContent>
          <mc:Choice Requires="wps">
            <w:drawing>
              <wp:inline distT="0" distB="0" distL="0" distR="0">
                <wp:extent cx="6896100" cy="457200"/>
                <wp:effectExtent l="19050" t="19050" r="19050" b="19050"/>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457200"/>
                        </a:xfrm>
                        <a:prstGeom prst="rect">
                          <a:avLst/>
                        </a:prstGeom>
                        <a:noFill/>
                        <a:ln w="28575" cap="flat" cmpd="sng" algn="ctr">
                          <a:solidFill>
                            <a:srgbClr val="5B9BD5">
                              <a:shade val="50000"/>
                            </a:srgbClr>
                          </a:solidFill>
                          <a:prstDash val="solid"/>
                          <a:miter lim="800000"/>
                        </a:ln>
                        <a:effectLst/>
                      </wps:spPr>
                      <wps:txbx>
                        <w:txbxContent>
                          <w:p w:rsidR="00FA6CB7" w:rsidRPr="000B663C" w:rsidRDefault="00596720" w:rsidP="00596720">
                            <w:pPr>
                              <w:rPr>
                                <w:color w:val="000000"/>
                                <w:lang w:val="fr-CA"/>
                              </w:rPr>
                            </w:pPr>
                            <w:r w:rsidRPr="000B663C">
                              <w:rPr>
                                <w:color w:val="000000"/>
                                <w:lang w:val="fr-CA"/>
                              </w:rPr>
                              <w:t xml:space="preserve">A titre d’ordonnance, dater et signer : </w:t>
                            </w:r>
                          </w:p>
                          <w:p w:rsidR="00173AEA" w:rsidRPr="000B663C" w:rsidRDefault="00173AEA" w:rsidP="003413ED">
                            <w:r w:rsidRPr="000B663C">
                              <w:t xml:space="preserve">Date : _____/_____/_____ </w:t>
                            </w:r>
                            <w:r w:rsidR="003413ED" w:rsidRPr="000B663C">
                              <w:tab/>
                              <w:t xml:space="preserve">        </w:t>
                            </w:r>
                            <w:r w:rsidRPr="000B663C">
                              <w:t xml:space="preserve">Signature </w:t>
                            </w:r>
                            <w:r w:rsidR="00596720" w:rsidRPr="000B663C">
                              <w:t>et licence :_______</w:t>
                            </w:r>
                            <w:r w:rsidR="003413ED" w:rsidRPr="000B663C">
                              <w:t>__________________________</w:t>
                            </w:r>
                            <w:r w:rsidR="00596720" w:rsidRPr="000B663C">
                              <w:t>______</w:t>
                            </w:r>
                            <w:r w:rsidR="00FA6CB7" w:rsidRPr="000B663C">
                              <w:t>_____</w:t>
                            </w:r>
                          </w:p>
                          <w:p w:rsidR="00173AEA" w:rsidRPr="005B70C4" w:rsidRDefault="00173AEA" w:rsidP="00173A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7" o:spid="_x0000_s1026" style="width:543pt;height: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1NhQIAAA0FAAAOAAAAZHJzL2Uyb0RvYy54bWysVEtv2zAMvg/YfxB0X50UTZsadYq0QYcB&#10;QVesHXpmZNkWJomapMTpfv0o2elrOw3zQSBFio+PH31xuTea7aQPCm3Fp0cTzqQVWCvbVvz7w82n&#10;OWchgq1Bo5UVf5KBXy4+frjoXSmPsUNdS88oiA1l7yrexejKogiikwbCETppydigNxBJ9W1Re+gp&#10;utHF8WRyWvToa+dRyBDodjUY+SLHbxop4temCTIyXXGqLebT53OTzmJxAWXrwXVKjGXAP1RhQFlK&#10;+hxqBRHY1qs/QhklPAZs4pFAU2DTKCFzD9TNdPKum/sOnMy9EDjBPcMU/l9Ycbu780zVNDvOLBga&#10;0TcCDWyrJTtL8PQulOR17+58ajC4NYofgQzFG0tSwuizb7xJvtQe22esn56xlvvIBF2ezs9PpxMa&#10;iSDbyeyMhpmyFVAeXjsf4meJhiWh4p7KyhDDbh3i4HpwScks3iit6R5KbVlf8eP57GxG8YFo1WiI&#10;JBpHjQbbcga6Jb6K6HPIgFrV6Xnu0Leba+3ZDogzs6vzq9VscOqgluPthL6x3DC459LfxEnFrSB0&#10;w5NsGuhmVCTOa2UqPk+BDpG0TellZu3Y4guqSYr7zZ4aTOIG6ycanMeB0cGJG0X51hDiHXiiMCFL&#10;axm/0tFoJDhwlDjr0P/6233yJ2aRlbOeVoKg+rkFLznTXyxx7nx6cpJ2KCt5ZJz515bNa4vdmmsk&#10;BIlXVF0W6bGP+iA2Hs0jbe8yZSUTWEG5h6GMynUcVpX2X8jlMrvR3jiIa3vvRAqeIEtIP+wfwbuR&#10;K5FYdouH9YHyHWUG3/TS4nIbsVGZTy+4juSmnctjHf8Paalf69nr5S+2+A0AAP//AwBQSwMEFAAG&#10;AAgAAAAhAJLcpojdAAAABQEAAA8AAABkcnMvZG93bnJldi54bWxMj0tPwzAQhO9I/AdrkbggatND&#10;KSFOxUPlwkMiPMpxGy9xhL2OYrcN/x6XC1xGGs1q5ttyMXontjTELrCGs4kCQdwE03Gr4fVleToH&#10;EROyQReYNHxThEV1eFBiYcKOn2lbp1bkEo4FarAp9YWUsbHkMU5CT5yzzzB4TNkOrTQD7nK5d3Kq&#10;1Ex67DgvWOzpxlLzVW+8Bnx3b08nFw93vv64X65uHy2u2mutj4/Gq0sQicb0dwx7/IwOVWZahw2b&#10;KJyG/Ej61X2m5rPs1xrOpwpkVcr/9NUPAAAA//8DAFBLAQItABQABgAIAAAAIQC2gziS/gAAAOEB&#10;AAATAAAAAAAAAAAAAAAAAAAAAABbQ29udGVudF9UeXBlc10ueG1sUEsBAi0AFAAGAAgAAAAhADj9&#10;If/WAAAAlAEAAAsAAAAAAAAAAAAAAAAALwEAAF9yZWxzLy5yZWxzUEsBAi0AFAAGAAgAAAAhAD7W&#10;TU2FAgAADQUAAA4AAAAAAAAAAAAAAAAALgIAAGRycy9lMm9Eb2MueG1sUEsBAi0AFAAGAAgAAAAh&#10;AJLcpojdAAAABQEAAA8AAAAAAAAAAAAAAAAA3wQAAGRycy9kb3ducmV2LnhtbFBLBQYAAAAABAAE&#10;APMAAADpBQAAAAA=&#10;" filled="f" strokecolor="#41719c" strokeweight="2.25pt">
                <v:path arrowok="t"/>
                <v:textbox>
                  <w:txbxContent>
                    <w:p w:rsidR="00FA6CB7" w:rsidRPr="000B663C" w:rsidRDefault="00596720" w:rsidP="00596720">
                      <w:pPr>
                        <w:rPr>
                          <w:color w:val="000000"/>
                          <w:lang w:val="fr-CA"/>
                        </w:rPr>
                      </w:pPr>
                      <w:r w:rsidRPr="000B663C">
                        <w:rPr>
                          <w:color w:val="000000"/>
                          <w:lang w:val="fr-CA"/>
                        </w:rPr>
                        <w:t xml:space="preserve">A titre d’ordonnance, dater et signer : </w:t>
                      </w:r>
                    </w:p>
                    <w:p w:rsidR="00173AEA" w:rsidRPr="000B663C" w:rsidRDefault="00173AEA" w:rsidP="003413ED">
                      <w:proofErr w:type="gramStart"/>
                      <w:r w:rsidRPr="000B663C">
                        <w:t>Date :</w:t>
                      </w:r>
                      <w:proofErr w:type="gramEnd"/>
                      <w:r w:rsidRPr="000B663C">
                        <w:t xml:space="preserve"> _____/_____/_____ </w:t>
                      </w:r>
                      <w:r w:rsidR="003413ED" w:rsidRPr="000B663C">
                        <w:tab/>
                        <w:t xml:space="preserve">        </w:t>
                      </w:r>
                      <w:r w:rsidRPr="000B663C">
                        <w:t xml:space="preserve">Signature </w:t>
                      </w:r>
                      <w:r w:rsidR="00596720" w:rsidRPr="000B663C">
                        <w:t xml:space="preserve">et </w:t>
                      </w:r>
                      <w:proofErr w:type="spellStart"/>
                      <w:r w:rsidR="00596720" w:rsidRPr="000B663C">
                        <w:t>licence</w:t>
                      </w:r>
                      <w:proofErr w:type="spellEnd"/>
                      <w:r w:rsidR="00596720" w:rsidRPr="000B663C">
                        <w:t> :_______</w:t>
                      </w:r>
                      <w:r w:rsidR="003413ED" w:rsidRPr="000B663C">
                        <w:t>__________________________</w:t>
                      </w:r>
                      <w:r w:rsidR="00596720" w:rsidRPr="000B663C">
                        <w:t>______</w:t>
                      </w:r>
                      <w:r w:rsidR="00FA6CB7" w:rsidRPr="000B663C">
                        <w:t>_____</w:t>
                      </w:r>
                    </w:p>
                    <w:p w:rsidR="00173AEA" w:rsidRPr="005B70C4" w:rsidRDefault="00173AEA" w:rsidP="00173AEA">
                      <w:pPr>
                        <w:jc w:val="center"/>
                      </w:pPr>
                    </w:p>
                  </w:txbxContent>
                </v:textbox>
                <w10:anchorlock/>
              </v:rect>
            </w:pict>
          </mc:Fallback>
        </mc:AlternateContent>
      </w:r>
    </w:p>
    <w:sectPr w:rsidR="009F6D25" w:rsidRPr="00751E2D" w:rsidSect="00173AEA">
      <w:headerReference w:type="default" r:id="rId9"/>
      <w:footerReference w:type="default" r:id="rId10"/>
      <w:pgSz w:w="12240" w:h="15840"/>
      <w:pgMar w:top="720" w:right="720" w:bottom="720" w:left="720" w:header="454"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AD9" w:rsidRDefault="00D20AD9" w:rsidP="00CD5A4A">
      <w:r>
        <w:separator/>
      </w:r>
    </w:p>
  </w:endnote>
  <w:endnote w:type="continuationSeparator" w:id="0">
    <w:p w:rsidR="00D20AD9" w:rsidRDefault="00D20AD9" w:rsidP="00CD5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F0C" w:rsidRPr="00FA6CB7" w:rsidRDefault="001B0F0C" w:rsidP="00310298">
    <w:pPr>
      <w:pBdr>
        <w:top w:val="nil"/>
        <w:left w:val="nil"/>
        <w:bottom w:val="nil"/>
        <w:right w:val="nil"/>
        <w:between w:val="nil"/>
      </w:pBdr>
      <w:tabs>
        <w:tab w:val="center" w:pos="4320"/>
        <w:tab w:val="right" w:pos="8640"/>
      </w:tabs>
      <w:rPr>
        <w:color w:val="000000"/>
        <w:lang w:val="fr-CA"/>
      </w:rPr>
    </w:pPr>
    <w:r w:rsidRPr="00FA6CB7">
      <w:rPr>
        <w:lang w:val="fr-CA"/>
      </w:rPr>
      <w:t>Pour les</w:t>
    </w:r>
    <w:r w:rsidR="00173AEA" w:rsidRPr="00FA6CB7">
      <w:rPr>
        <w:lang w:val="fr-CA"/>
      </w:rPr>
      <w:t xml:space="preserve"> références</w:t>
    </w:r>
    <w:r w:rsidRPr="00FA6CB7">
      <w:rPr>
        <w:lang w:val="fr-CA"/>
      </w:rPr>
      <w:t xml:space="preserve">, consulter le site : </w:t>
    </w:r>
    <w:hyperlink r:id="rId1">
      <w:r w:rsidRPr="00FA6CB7">
        <w:rPr>
          <w:color w:val="0563C1"/>
          <w:u w:val="single"/>
          <w:lang w:val="fr-CA"/>
        </w:rPr>
        <w:t>www.guidetherapeutiqueVIH.com</w:t>
      </w:r>
    </w:hyperlink>
    <w:r w:rsidRPr="00FA6CB7">
      <w:rPr>
        <w:color w:val="000000"/>
        <w:lang w:val="fr-CA"/>
      </w:rPr>
      <w:t xml:space="preserve">                           </w:t>
    </w:r>
    <w:r w:rsidR="00AA3962">
      <w:rPr>
        <w:lang w:val="fr-CA"/>
      </w:rPr>
      <w:t>March 2021</w:t>
    </w:r>
    <w:r w:rsidRPr="00FA6CB7">
      <w:rPr>
        <w:lang w:val="fr-C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AD9" w:rsidRDefault="00D20AD9" w:rsidP="00CD5A4A">
      <w:r>
        <w:separator/>
      </w:r>
    </w:p>
  </w:footnote>
  <w:footnote w:type="continuationSeparator" w:id="0">
    <w:p w:rsidR="00D20AD9" w:rsidRDefault="00D20AD9" w:rsidP="00CD5A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F0C" w:rsidRDefault="001B0F0C">
    <w:pPr>
      <w:pStyle w:val="En-tte"/>
      <w:jc w:val="right"/>
    </w:pPr>
    <w:r>
      <w:t xml:space="preserve">Page </w:t>
    </w:r>
    <w:r>
      <w:rPr>
        <w:b/>
        <w:bCs/>
      </w:rPr>
      <w:fldChar w:fldCharType="begin"/>
    </w:r>
    <w:r>
      <w:rPr>
        <w:b/>
        <w:bCs/>
      </w:rPr>
      <w:instrText xml:space="preserve"> PAGE </w:instrText>
    </w:r>
    <w:r>
      <w:rPr>
        <w:b/>
        <w:bCs/>
      </w:rPr>
      <w:fldChar w:fldCharType="separate"/>
    </w:r>
    <w:r w:rsidR="00D20AD9">
      <w:rPr>
        <w:b/>
        <w:bCs/>
        <w:noProof/>
      </w:rPr>
      <w:t>1</w:t>
    </w:r>
    <w:r>
      <w:rPr>
        <w:b/>
        <w:bCs/>
      </w:rPr>
      <w:fldChar w:fldCharType="end"/>
    </w:r>
    <w:r>
      <w:t xml:space="preserve"> de </w:t>
    </w:r>
    <w:r>
      <w:rPr>
        <w:b/>
        <w:bCs/>
      </w:rPr>
      <w:fldChar w:fldCharType="begin"/>
    </w:r>
    <w:r>
      <w:rPr>
        <w:b/>
        <w:bCs/>
      </w:rPr>
      <w:instrText xml:space="preserve"> NUMPAGES  </w:instrText>
    </w:r>
    <w:r>
      <w:rPr>
        <w:b/>
        <w:bCs/>
      </w:rPr>
      <w:fldChar w:fldCharType="separate"/>
    </w:r>
    <w:r w:rsidR="00D20AD9">
      <w:rPr>
        <w:b/>
        <w:bCs/>
        <w:noProof/>
      </w:rPr>
      <w:t>1</w:t>
    </w:r>
    <w:r>
      <w:rPr>
        <w:b/>
        <w:bCs/>
      </w:rPr>
      <w:fldChar w:fldCharType="end"/>
    </w:r>
  </w:p>
  <w:p w:rsidR="001B0F0C" w:rsidRDefault="001B0F0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A2EAA"/>
    <w:multiLevelType w:val="hybridMultilevel"/>
    <w:tmpl w:val="DEE82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9660DC"/>
    <w:multiLevelType w:val="hybridMultilevel"/>
    <w:tmpl w:val="C11868EE"/>
    <w:lvl w:ilvl="0" w:tplc="762043EA">
      <w:start w:val="1"/>
      <w:numFmt w:val="bullet"/>
      <w:lvlText w:val=""/>
      <w:lvlJc w:val="left"/>
      <w:pPr>
        <w:ind w:left="720" w:hanging="360"/>
      </w:pPr>
      <w:rPr>
        <w:rFonts w:ascii="Symbol" w:hAnsi="Symbol" w:cs="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436480"/>
    <w:multiLevelType w:val="hybridMultilevel"/>
    <w:tmpl w:val="B860E512"/>
    <w:lvl w:ilvl="0" w:tplc="0C0C0005">
      <w:start w:val="1"/>
      <w:numFmt w:val="bullet"/>
      <w:lvlText w:val=""/>
      <w:lvlJc w:val="left"/>
      <w:pPr>
        <w:ind w:left="1440" w:hanging="360"/>
      </w:pPr>
      <w:rPr>
        <w:rFonts w:ascii="Wingdings" w:hAnsi="Wingding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
    <w:nsid w:val="58CE0F17"/>
    <w:multiLevelType w:val="hybridMultilevel"/>
    <w:tmpl w:val="4BD24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720E16"/>
    <w:multiLevelType w:val="hybridMultilevel"/>
    <w:tmpl w:val="54743D64"/>
    <w:lvl w:ilvl="0" w:tplc="762043EA">
      <w:start w:val="1"/>
      <w:numFmt w:val="bullet"/>
      <w:lvlText w:val=""/>
      <w:lvlJc w:val="left"/>
      <w:pPr>
        <w:ind w:left="720" w:hanging="360"/>
      </w:pPr>
      <w:rPr>
        <w:rFonts w:ascii="Symbol" w:hAnsi="Symbol" w:cs="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ttachedTemplate r:id="rId1"/>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6D9"/>
    <w:rsid w:val="00055216"/>
    <w:rsid w:val="0005559A"/>
    <w:rsid w:val="00056710"/>
    <w:rsid w:val="00057E8E"/>
    <w:rsid w:val="000608A4"/>
    <w:rsid w:val="0006785D"/>
    <w:rsid w:val="00075017"/>
    <w:rsid w:val="000761B7"/>
    <w:rsid w:val="000778AF"/>
    <w:rsid w:val="00094ACE"/>
    <w:rsid w:val="000B663C"/>
    <w:rsid w:val="000C1844"/>
    <w:rsid w:val="0010058A"/>
    <w:rsid w:val="001448D8"/>
    <w:rsid w:val="00144C55"/>
    <w:rsid w:val="00145F1B"/>
    <w:rsid w:val="00147799"/>
    <w:rsid w:val="00155289"/>
    <w:rsid w:val="0016597E"/>
    <w:rsid w:val="00173AEA"/>
    <w:rsid w:val="0018137E"/>
    <w:rsid w:val="00183D2E"/>
    <w:rsid w:val="00186AE9"/>
    <w:rsid w:val="00186C54"/>
    <w:rsid w:val="001A0F28"/>
    <w:rsid w:val="001A1362"/>
    <w:rsid w:val="001B0F0C"/>
    <w:rsid w:val="001B649A"/>
    <w:rsid w:val="001C7F09"/>
    <w:rsid w:val="001E694D"/>
    <w:rsid w:val="00200B48"/>
    <w:rsid w:val="002128AF"/>
    <w:rsid w:val="002264DF"/>
    <w:rsid w:val="00251915"/>
    <w:rsid w:val="00261691"/>
    <w:rsid w:val="00291C2D"/>
    <w:rsid w:val="002A76EB"/>
    <w:rsid w:val="002B66D9"/>
    <w:rsid w:val="002B671D"/>
    <w:rsid w:val="002E51C3"/>
    <w:rsid w:val="002F6838"/>
    <w:rsid w:val="0030271F"/>
    <w:rsid w:val="00310298"/>
    <w:rsid w:val="003413ED"/>
    <w:rsid w:val="00385217"/>
    <w:rsid w:val="0039680A"/>
    <w:rsid w:val="003A2EBB"/>
    <w:rsid w:val="003C6E8F"/>
    <w:rsid w:val="003D7BCD"/>
    <w:rsid w:val="004066E9"/>
    <w:rsid w:val="00427BE2"/>
    <w:rsid w:val="00442536"/>
    <w:rsid w:val="0044508D"/>
    <w:rsid w:val="00446286"/>
    <w:rsid w:val="004527CE"/>
    <w:rsid w:val="00467422"/>
    <w:rsid w:val="00497C72"/>
    <w:rsid w:val="00533604"/>
    <w:rsid w:val="00547DB4"/>
    <w:rsid w:val="0055724E"/>
    <w:rsid w:val="005733C2"/>
    <w:rsid w:val="00596720"/>
    <w:rsid w:val="005B70C4"/>
    <w:rsid w:val="005B7D5C"/>
    <w:rsid w:val="005C1951"/>
    <w:rsid w:val="00602BFA"/>
    <w:rsid w:val="00602E97"/>
    <w:rsid w:val="00612E24"/>
    <w:rsid w:val="006150EE"/>
    <w:rsid w:val="006322CD"/>
    <w:rsid w:val="00661EF0"/>
    <w:rsid w:val="006644BE"/>
    <w:rsid w:val="00677AB8"/>
    <w:rsid w:val="006A0FA7"/>
    <w:rsid w:val="006A74B9"/>
    <w:rsid w:val="006B2F22"/>
    <w:rsid w:val="006C6371"/>
    <w:rsid w:val="006E1A02"/>
    <w:rsid w:val="006F6780"/>
    <w:rsid w:val="0071460A"/>
    <w:rsid w:val="007274B1"/>
    <w:rsid w:val="00731DB3"/>
    <w:rsid w:val="00734B15"/>
    <w:rsid w:val="00735E6F"/>
    <w:rsid w:val="00744FF3"/>
    <w:rsid w:val="00751E2D"/>
    <w:rsid w:val="00760C00"/>
    <w:rsid w:val="007635D3"/>
    <w:rsid w:val="00764BEB"/>
    <w:rsid w:val="00777EBA"/>
    <w:rsid w:val="007966D6"/>
    <w:rsid w:val="00800BC3"/>
    <w:rsid w:val="00843D3C"/>
    <w:rsid w:val="008607B8"/>
    <w:rsid w:val="00863E63"/>
    <w:rsid w:val="008778DB"/>
    <w:rsid w:val="008A5DD3"/>
    <w:rsid w:val="008B019C"/>
    <w:rsid w:val="008C3534"/>
    <w:rsid w:val="008C72A6"/>
    <w:rsid w:val="008D37E0"/>
    <w:rsid w:val="008D62D5"/>
    <w:rsid w:val="00917F91"/>
    <w:rsid w:val="00922813"/>
    <w:rsid w:val="0092554F"/>
    <w:rsid w:val="00937E39"/>
    <w:rsid w:val="009612DA"/>
    <w:rsid w:val="00961E4E"/>
    <w:rsid w:val="00973CB7"/>
    <w:rsid w:val="009C0A92"/>
    <w:rsid w:val="009F6D25"/>
    <w:rsid w:val="00A15B2C"/>
    <w:rsid w:val="00A15FA1"/>
    <w:rsid w:val="00A302C4"/>
    <w:rsid w:val="00A32F36"/>
    <w:rsid w:val="00A47384"/>
    <w:rsid w:val="00A47E1B"/>
    <w:rsid w:val="00A71576"/>
    <w:rsid w:val="00A729BC"/>
    <w:rsid w:val="00A7767A"/>
    <w:rsid w:val="00A90F98"/>
    <w:rsid w:val="00AA3962"/>
    <w:rsid w:val="00AD09F7"/>
    <w:rsid w:val="00AF40AB"/>
    <w:rsid w:val="00AF4C12"/>
    <w:rsid w:val="00B061EE"/>
    <w:rsid w:val="00B147F5"/>
    <w:rsid w:val="00B4698E"/>
    <w:rsid w:val="00B5500A"/>
    <w:rsid w:val="00B76713"/>
    <w:rsid w:val="00B906ED"/>
    <w:rsid w:val="00B93894"/>
    <w:rsid w:val="00BA41EF"/>
    <w:rsid w:val="00BB5245"/>
    <w:rsid w:val="00BC2DE7"/>
    <w:rsid w:val="00BC78B5"/>
    <w:rsid w:val="00BE5B02"/>
    <w:rsid w:val="00BE5D95"/>
    <w:rsid w:val="00C45331"/>
    <w:rsid w:val="00C47F74"/>
    <w:rsid w:val="00C50966"/>
    <w:rsid w:val="00C754CB"/>
    <w:rsid w:val="00C835EA"/>
    <w:rsid w:val="00C917C3"/>
    <w:rsid w:val="00CC1A72"/>
    <w:rsid w:val="00CD4792"/>
    <w:rsid w:val="00CD5A4A"/>
    <w:rsid w:val="00D00C3C"/>
    <w:rsid w:val="00D05073"/>
    <w:rsid w:val="00D20AD9"/>
    <w:rsid w:val="00D213AD"/>
    <w:rsid w:val="00D809DD"/>
    <w:rsid w:val="00D86D63"/>
    <w:rsid w:val="00DA5A98"/>
    <w:rsid w:val="00DC7986"/>
    <w:rsid w:val="00E01BA6"/>
    <w:rsid w:val="00E05B46"/>
    <w:rsid w:val="00E20E8A"/>
    <w:rsid w:val="00E47E23"/>
    <w:rsid w:val="00E6747F"/>
    <w:rsid w:val="00E737D5"/>
    <w:rsid w:val="00EC46A5"/>
    <w:rsid w:val="00EF18B6"/>
    <w:rsid w:val="00F2321C"/>
    <w:rsid w:val="00F25FFB"/>
    <w:rsid w:val="00F57980"/>
    <w:rsid w:val="00F76846"/>
    <w:rsid w:val="00F87ED5"/>
    <w:rsid w:val="00F940B4"/>
    <w:rsid w:val="00FA0AEF"/>
    <w:rsid w:val="00FA6CB7"/>
    <w:rsid w:val="00FB3328"/>
    <w:rsid w:val="00FC6F02"/>
    <w:rsid w:val="00FD3C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Calibri" w:hAnsi="Century Gothic" w:cs="Century Gothic"/>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1E2D"/>
    <w:rPr>
      <w:sz w:val="22"/>
      <w:szCs w:val="22"/>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D5A4A"/>
    <w:pPr>
      <w:ind w:left="720"/>
      <w:contextualSpacing/>
    </w:pPr>
  </w:style>
  <w:style w:type="paragraph" w:styleId="En-tte">
    <w:name w:val="header"/>
    <w:basedOn w:val="Normal"/>
    <w:link w:val="En-tteCar"/>
    <w:uiPriority w:val="99"/>
    <w:unhideWhenUsed/>
    <w:rsid w:val="00CD5A4A"/>
    <w:pPr>
      <w:tabs>
        <w:tab w:val="center" w:pos="4680"/>
        <w:tab w:val="right" w:pos="9360"/>
      </w:tabs>
    </w:pPr>
  </w:style>
  <w:style w:type="character" w:customStyle="1" w:styleId="En-tteCar">
    <w:name w:val="En-tête Car"/>
    <w:link w:val="En-tte"/>
    <w:uiPriority w:val="99"/>
    <w:rsid w:val="00CD5A4A"/>
    <w:rPr>
      <w:rFonts w:ascii="Calibri" w:eastAsia="Calibri" w:hAnsi="Calibri" w:cs="Calibri"/>
      <w:sz w:val="24"/>
      <w:szCs w:val="24"/>
      <w:lang w:val="fr-FR" w:eastAsia="fr-CA"/>
    </w:rPr>
  </w:style>
  <w:style w:type="paragraph" w:styleId="Pieddepage">
    <w:name w:val="footer"/>
    <w:basedOn w:val="Normal"/>
    <w:link w:val="PieddepageCar"/>
    <w:uiPriority w:val="99"/>
    <w:unhideWhenUsed/>
    <w:rsid w:val="00CD5A4A"/>
    <w:pPr>
      <w:tabs>
        <w:tab w:val="center" w:pos="4680"/>
        <w:tab w:val="right" w:pos="9360"/>
      </w:tabs>
    </w:pPr>
  </w:style>
  <w:style w:type="character" w:customStyle="1" w:styleId="PieddepageCar">
    <w:name w:val="Pied de page Car"/>
    <w:link w:val="Pieddepage"/>
    <w:uiPriority w:val="99"/>
    <w:rsid w:val="00CD5A4A"/>
    <w:rPr>
      <w:rFonts w:ascii="Calibri" w:eastAsia="Calibri" w:hAnsi="Calibri" w:cs="Calibri"/>
      <w:sz w:val="24"/>
      <w:szCs w:val="24"/>
      <w:lang w:val="fr-FR" w:eastAsia="fr-CA"/>
    </w:rPr>
  </w:style>
  <w:style w:type="paragraph" w:styleId="Textedebulles">
    <w:name w:val="Balloon Text"/>
    <w:basedOn w:val="Normal"/>
    <w:link w:val="TextedebullesCar"/>
    <w:uiPriority w:val="99"/>
    <w:semiHidden/>
    <w:unhideWhenUsed/>
    <w:rsid w:val="008B019C"/>
    <w:rPr>
      <w:rFonts w:ascii="Tahoma" w:hAnsi="Tahoma" w:cs="Tahoma"/>
      <w:sz w:val="16"/>
      <w:szCs w:val="16"/>
    </w:rPr>
  </w:style>
  <w:style w:type="character" w:customStyle="1" w:styleId="TextedebullesCar">
    <w:name w:val="Texte de bulles Car"/>
    <w:link w:val="Textedebulles"/>
    <w:uiPriority w:val="99"/>
    <w:semiHidden/>
    <w:rsid w:val="008B019C"/>
    <w:rPr>
      <w:rFonts w:ascii="Tahoma" w:eastAsia="Calibri" w:hAnsi="Tahoma" w:cs="Tahoma"/>
      <w:sz w:val="16"/>
      <w:szCs w:val="16"/>
      <w:lang w:val="fr-FR" w:eastAsia="fr-CA"/>
    </w:rPr>
  </w:style>
  <w:style w:type="character" w:styleId="Textedelespacerserv">
    <w:name w:val="Placeholder Text"/>
    <w:uiPriority w:val="99"/>
    <w:semiHidden/>
    <w:rsid w:val="00427BE2"/>
    <w:rPr>
      <w:color w:val="808080"/>
    </w:rPr>
  </w:style>
  <w:style w:type="paragraph" w:styleId="z-Hautduformulaire">
    <w:name w:val="HTML Top of Form"/>
    <w:basedOn w:val="Normal"/>
    <w:next w:val="Normal"/>
    <w:link w:val="z-HautduformulaireCar"/>
    <w:hidden/>
    <w:uiPriority w:val="99"/>
    <w:semiHidden/>
    <w:unhideWhenUsed/>
    <w:rsid w:val="00A47E1B"/>
    <w:pPr>
      <w:pBdr>
        <w:bottom w:val="single" w:sz="6" w:space="1" w:color="auto"/>
      </w:pBdr>
      <w:jc w:val="center"/>
    </w:pPr>
    <w:rPr>
      <w:rFonts w:ascii="Arial" w:hAnsi="Arial" w:cs="Arial"/>
      <w:vanish/>
      <w:sz w:val="16"/>
      <w:szCs w:val="16"/>
    </w:rPr>
  </w:style>
  <w:style w:type="character" w:customStyle="1" w:styleId="z-HautduformulaireCar">
    <w:name w:val="z-Haut du formulaire Car"/>
    <w:link w:val="z-Hautduformulaire"/>
    <w:uiPriority w:val="99"/>
    <w:semiHidden/>
    <w:rsid w:val="00A47E1B"/>
    <w:rPr>
      <w:rFonts w:ascii="Arial" w:eastAsia="Calibri" w:hAnsi="Arial" w:cs="Arial"/>
      <w:vanish/>
      <w:sz w:val="16"/>
      <w:szCs w:val="16"/>
      <w:lang w:val="fr-FR" w:eastAsia="fr-CA"/>
    </w:rPr>
  </w:style>
  <w:style w:type="paragraph" w:styleId="z-Basduformulaire">
    <w:name w:val="HTML Bottom of Form"/>
    <w:basedOn w:val="Normal"/>
    <w:next w:val="Normal"/>
    <w:link w:val="z-BasduformulaireCar"/>
    <w:hidden/>
    <w:uiPriority w:val="99"/>
    <w:semiHidden/>
    <w:unhideWhenUsed/>
    <w:rsid w:val="00A47E1B"/>
    <w:pPr>
      <w:pBdr>
        <w:top w:val="single" w:sz="6" w:space="1" w:color="auto"/>
      </w:pBdr>
      <w:jc w:val="center"/>
    </w:pPr>
    <w:rPr>
      <w:rFonts w:ascii="Arial" w:hAnsi="Arial" w:cs="Arial"/>
      <w:vanish/>
      <w:sz w:val="16"/>
      <w:szCs w:val="16"/>
    </w:rPr>
  </w:style>
  <w:style w:type="character" w:customStyle="1" w:styleId="z-BasduformulaireCar">
    <w:name w:val="z-Bas du formulaire Car"/>
    <w:link w:val="z-Basduformulaire"/>
    <w:uiPriority w:val="99"/>
    <w:semiHidden/>
    <w:rsid w:val="00A47E1B"/>
    <w:rPr>
      <w:rFonts w:ascii="Arial" w:eastAsia="Calibri" w:hAnsi="Arial" w:cs="Arial"/>
      <w:vanish/>
      <w:sz w:val="16"/>
      <w:szCs w:val="16"/>
      <w:lang w:val="fr-FR" w:eastAsia="fr-CA"/>
    </w:rPr>
  </w:style>
  <w:style w:type="character" w:customStyle="1" w:styleId="Style1">
    <w:name w:val="Style1"/>
    <w:uiPriority w:val="1"/>
    <w:rsid w:val="00AD09F7"/>
    <w:rPr>
      <w:bdr w:val="single" w:sz="4" w:space="0" w:color="auto"/>
    </w:rPr>
  </w:style>
  <w:style w:type="character" w:customStyle="1" w:styleId="Style2">
    <w:name w:val="Style2"/>
    <w:uiPriority w:val="1"/>
    <w:rsid w:val="00AD09F7"/>
    <w:rPr>
      <w:bdr w:val="none" w:sz="0" w:space="0" w:color="auto"/>
    </w:rPr>
  </w:style>
  <w:style w:type="paragraph" w:customStyle="1" w:styleId="AutoCorrect">
    <w:name w:val="AutoCorrect"/>
    <w:rsid w:val="008D37E0"/>
    <w:pPr>
      <w:spacing w:after="160" w:line="259" w:lineRule="auto"/>
    </w:pPr>
    <w:rPr>
      <w:rFonts w:eastAsia="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Calibri" w:hAnsi="Century Gothic" w:cs="Century Gothic"/>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1E2D"/>
    <w:rPr>
      <w:sz w:val="22"/>
      <w:szCs w:val="22"/>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D5A4A"/>
    <w:pPr>
      <w:ind w:left="720"/>
      <w:contextualSpacing/>
    </w:pPr>
  </w:style>
  <w:style w:type="paragraph" w:styleId="En-tte">
    <w:name w:val="header"/>
    <w:basedOn w:val="Normal"/>
    <w:link w:val="En-tteCar"/>
    <w:uiPriority w:val="99"/>
    <w:unhideWhenUsed/>
    <w:rsid w:val="00CD5A4A"/>
    <w:pPr>
      <w:tabs>
        <w:tab w:val="center" w:pos="4680"/>
        <w:tab w:val="right" w:pos="9360"/>
      </w:tabs>
    </w:pPr>
  </w:style>
  <w:style w:type="character" w:customStyle="1" w:styleId="En-tteCar">
    <w:name w:val="En-tête Car"/>
    <w:link w:val="En-tte"/>
    <w:uiPriority w:val="99"/>
    <w:rsid w:val="00CD5A4A"/>
    <w:rPr>
      <w:rFonts w:ascii="Calibri" w:eastAsia="Calibri" w:hAnsi="Calibri" w:cs="Calibri"/>
      <w:sz w:val="24"/>
      <w:szCs w:val="24"/>
      <w:lang w:val="fr-FR" w:eastAsia="fr-CA"/>
    </w:rPr>
  </w:style>
  <w:style w:type="paragraph" w:styleId="Pieddepage">
    <w:name w:val="footer"/>
    <w:basedOn w:val="Normal"/>
    <w:link w:val="PieddepageCar"/>
    <w:uiPriority w:val="99"/>
    <w:unhideWhenUsed/>
    <w:rsid w:val="00CD5A4A"/>
    <w:pPr>
      <w:tabs>
        <w:tab w:val="center" w:pos="4680"/>
        <w:tab w:val="right" w:pos="9360"/>
      </w:tabs>
    </w:pPr>
  </w:style>
  <w:style w:type="character" w:customStyle="1" w:styleId="PieddepageCar">
    <w:name w:val="Pied de page Car"/>
    <w:link w:val="Pieddepage"/>
    <w:uiPriority w:val="99"/>
    <w:rsid w:val="00CD5A4A"/>
    <w:rPr>
      <w:rFonts w:ascii="Calibri" w:eastAsia="Calibri" w:hAnsi="Calibri" w:cs="Calibri"/>
      <w:sz w:val="24"/>
      <w:szCs w:val="24"/>
      <w:lang w:val="fr-FR" w:eastAsia="fr-CA"/>
    </w:rPr>
  </w:style>
  <w:style w:type="paragraph" w:styleId="Textedebulles">
    <w:name w:val="Balloon Text"/>
    <w:basedOn w:val="Normal"/>
    <w:link w:val="TextedebullesCar"/>
    <w:uiPriority w:val="99"/>
    <w:semiHidden/>
    <w:unhideWhenUsed/>
    <w:rsid w:val="008B019C"/>
    <w:rPr>
      <w:rFonts w:ascii="Tahoma" w:hAnsi="Tahoma" w:cs="Tahoma"/>
      <w:sz w:val="16"/>
      <w:szCs w:val="16"/>
    </w:rPr>
  </w:style>
  <w:style w:type="character" w:customStyle="1" w:styleId="TextedebullesCar">
    <w:name w:val="Texte de bulles Car"/>
    <w:link w:val="Textedebulles"/>
    <w:uiPriority w:val="99"/>
    <w:semiHidden/>
    <w:rsid w:val="008B019C"/>
    <w:rPr>
      <w:rFonts w:ascii="Tahoma" w:eastAsia="Calibri" w:hAnsi="Tahoma" w:cs="Tahoma"/>
      <w:sz w:val="16"/>
      <w:szCs w:val="16"/>
      <w:lang w:val="fr-FR" w:eastAsia="fr-CA"/>
    </w:rPr>
  </w:style>
  <w:style w:type="character" w:styleId="Textedelespacerserv">
    <w:name w:val="Placeholder Text"/>
    <w:uiPriority w:val="99"/>
    <w:semiHidden/>
    <w:rsid w:val="00427BE2"/>
    <w:rPr>
      <w:color w:val="808080"/>
    </w:rPr>
  </w:style>
  <w:style w:type="paragraph" w:styleId="z-Hautduformulaire">
    <w:name w:val="HTML Top of Form"/>
    <w:basedOn w:val="Normal"/>
    <w:next w:val="Normal"/>
    <w:link w:val="z-HautduformulaireCar"/>
    <w:hidden/>
    <w:uiPriority w:val="99"/>
    <w:semiHidden/>
    <w:unhideWhenUsed/>
    <w:rsid w:val="00A47E1B"/>
    <w:pPr>
      <w:pBdr>
        <w:bottom w:val="single" w:sz="6" w:space="1" w:color="auto"/>
      </w:pBdr>
      <w:jc w:val="center"/>
    </w:pPr>
    <w:rPr>
      <w:rFonts w:ascii="Arial" w:hAnsi="Arial" w:cs="Arial"/>
      <w:vanish/>
      <w:sz w:val="16"/>
      <w:szCs w:val="16"/>
    </w:rPr>
  </w:style>
  <w:style w:type="character" w:customStyle="1" w:styleId="z-HautduformulaireCar">
    <w:name w:val="z-Haut du formulaire Car"/>
    <w:link w:val="z-Hautduformulaire"/>
    <w:uiPriority w:val="99"/>
    <w:semiHidden/>
    <w:rsid w:val="00A47E1B"/>
    <w:rPr>
      <w:rFonts w:ascii="Arial" w:eastAsia="Calibri" w:hAnsi="Arial" w:cs="Arial"/>
      <w:vanish/>
      <w:sz w:val="16"/>
      <w:szCs w:val="16"/>
      <w:lang w:val="fr-FR" w:eastAsia="fr-CA"/>
    </w:rPr>
  </w:style>
  <w:style w:type="paragraph" w:styleId="z-Basduformulaire">
    <w:name w:val="HTML Bottom of Form"/>
    <w:basedOn w:val="Normal"/>
    <w:next w:val="Normal"/>
    <w:link w:val="z-BasduformulaireCar"/>
    <w:hidden/>
    <w:uiPriority w:val="99"/>
    <w:semiHidden/>
    <w:unhideWhenUsed/>
    <w:rsid w:val="00A47E1B"/>
    <w:pPr>
      <w:pBdr>
        <w:top w:val="single" w:sz="6" w:space="1" w:color="auto"/>
      </w:pBdr>
      <w:jc w:val="center"/>
    </w:pPr>
    <w:rPr>
      <w:rFonts w:ascii="Arial" w:hAnsi="Arial" w:cs="Arial"/>
      <w:vanish/>
      <w:sz w:val="16"/>
      <w:szCs w:val="16"/>
    </w:rPr>
  </w:style>
  <w:style w:type="character" w:customStyle="1" w:styleId="z-BasduformulaireCar">
    <w:name w:val="z-Bas du formulaire Car"/>
    <w:link w:val="z-Basduformulaire"/>
    <w:uiPriority w:val="99"/>
    <w:semiHidden/>
    <w:rsid w:val="00A47E1B"/>
    <w:rPr>
      <w:rFonts w:ascii="Arial" w:eastAsia="Calibri" w:hAnsi="Arial" w:cs="Arial"/>
      <w:vanish/>
      <w:sz w:val="16"/>
      <w:szCs w:val="16"/>
      <w:lang w:val="fr-FR" w:eastAsia="fr-CA"/>
    </w:rPr>
  </w:style>
  <w:style w:type="character" w:customStyle="1" w:styleId="Style1">
    <w:name w:val="Style1"/>
    <w:uiPriority w:val="1"/>
    <w:rsid w:val="00AD09F7"/>
    <w:rPr>
      <w:bdr w:val="single" w:sz="4" w:space="0" w:color="auto"/>
    </w:rPr>
  </w:style>
  <w:style w:type="character" w:customStyle="1" w:styleId="Style2">
    <w:name w:val="Style2"/>
    <w:uiPriority w:val="1"/>
    <w:rsid w:val="00AD09F7"/>
    <w:rPr>
      <w:bdr w:val="none" w:sz="0" w:space="0" w:color="auto"/>
    </w:rPr>
  </w:style>
  <w:style w:type="paragraph" w:customStyle="1" w:styleId="AutoCorrect">
    <w:name w:val="AutoCorrect"/>
    <w:rsid w:val="008D37E0"/>
    <w:pPr>
      <w:spacing w:after="160" w:line="259" w:lineRule="auto"/>
    </w:pPr>
    <w:rPr>
      <w:rFonts w:eastAsia="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30992">
      <w:bodyDiv w:val="1"/>
      <w:marLeft w:val="0"/>
      <w:marRight w:val="0"/>
      <w:marTop w:val="0"/>
      <w:marBottom w:val="0"/>
      <w:divBdr>
        <w:top w:val="none" w:sz="0" w:space="0" w:color="auto"/>
        <w:left w:val="none" w:sz="0" w:space="0" w:color="auto"/>
        <w:bottom w:val="none" w:sz="0" w:space="0" w:color="auto"/>
        <w:right w:val="none" w:sz="0" w:space="0" w:color="auto"/>
      </w:divBdr>
    </w:div>
    <w:div w:id="182473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uidetherapeutiquevih.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e\Documents\Travail\Rachel\2019-04-29\OPINIONS-DIGOXINE-Fin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5CFD3-7713-4DB6-B362-05CEB3DAB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OPINIONS-DIGOXINE-Final</Template>
  <TotalTime>4</TotalTime>
  <Pages>2</Pages>
  <Words>424</Words>
  <Characters>2336</Characters>
  <Application>Microsoft Office Word</Application>
  <DocSecurity>0</DocSecurity>
  <Lines>19</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CHUM</Company>
  <LinksUpToDate>false</LinksUpToDate>
  <CharactersWithSpaces>2755</CharactersWithSpaces>
  <SharedDoc>false</SharedDoc>
  <HLinks>
    <vt:vector size="6" baseType="variant">
      <vt:variant>
        <vt:i4>5439516</vt:i4>
      </vt:variant>
      <vt:variant>
        <vt:i4>6</vt:i4>
      </vt:variant>
      <vt:variant>
        <vt:i4>0</vt:i4>
      </vt:variant>
      <vt:variant>
        <vt:i4>5</vt:i4>
      </vt:variant>
      <vt:variant>
        <vt:lpwstr>http://www.guidetherapeutiquevih.com/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Claude</dc:creator>
  <cp:lastModifiedBy>Claude</cp:lastModifiedBy>
  <cp:revision>4</cp:revision>
  <cp:lastPrinted>2019-04-24T20:30:00Z</cp:lastPrinted>
  <dcterms:created xsi:type="dcterms:W3CDTF">2021-03-17T14:17:00Z</dcterms:created>
  <dcterms:modified xsi:type="dcterms:W3CDTF">2021-03-17T15:42:00Z</dcterms:modified>
</cp:coreProperties>
</file>