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Opinion pharmaceutique </w:t>
      </w:r>
    </w:p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Interaction entre les anticoagulants oraux et les antirétroviraux combinés au ritonavir, cobicistat ou atazanavir seul.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 Téléphone : ______________________________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Après avoir analysé le dossier de votre patient(e), j’ai relevé un problème relié à sa pharmacothérapie. </w:t>
      </w:r>
    </w:p>
    <w:p w:rsidR="00000000" w:rsidDel="00000000" w:rsidP="00000000" w:rsidRDefault="00000000" w:rsidRPr="00000000" w14:paraId="00000009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Interaction entre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Apixaban (Eliquis)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Dabigatran (Pradaxa)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Edoxaban (Lixiana)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Rivaroxaban (Xarelto)</w:t>
      </w:r>
    </w:p>
    <w:p w:rsidR="00000000" w:rsidDel="00000000" w:rsidP="00000000" w:rsidRDefault="00000000" w:rsidRPr="00000000" w14:paraId="0000000F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Atazanavir/Cobicistat (Evotaz)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 (Prezcobix, Symtuza)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lvitégravir/Cobicistat/Emtricitabine/Ténofovir (Stribild, Genvoya)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Lopinavir/Ritonavir (Kaletra)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 (Reyataz) </w:t>
      </w:r>
    </w:p>
    <w:p w:rsidR="00000000" w:rsidDel="00000000" w:rsidP="00000000" w:rsidRDefault="00000000" w:rsidRPr="00000000" w14:paraId="00000017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augmentation du risque des effets indésirables des anticoagulants oraux peut survenir lors de l’administration concomitante avec un antirétroviral mentionné ci-haut.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1, 2, 4, 7, 10, 15, 16, 19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cobicistat, le ritonavir et les inhibiteurs de la protéase (IP) sont des inhibiteurs du transporteur P-glycoprotéine (P-gp) et du cytochrome (CYP) 3A4.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métabolisme de l’apixaban, du dabigatran et du rivaroxaban implique ce transporteur et ce cytochrome.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 inhibitions peuvent augmenter leur concentration plasmatique et leur risque d’effets indésirables (saignements).</w:t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Pour de plus ample information voici des études évaluant leur potentiel d’interaction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Apixaban (Eliquis) 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1, 3, 4, 5, 6, 7, 8, 9, 16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Kétoconazole +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pixaban : ↑ la surface sous la courbe (SSC) de 2 fois de l’apixaban. </w:t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both"/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Rivaroxaban (Xarelto) 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Ritonavir +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ivaroxaban : ↑ (SSC) de 2,5 fois du rivaroxaban.</w:t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Edoxaban (Lixiana)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Kétoconazole + édoxaban : ↑ la surface sous la courbe (SSC) de 87% de l’édoxaban. 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Dabigatran (Pradaxa) + ritonavir 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Ritonavir +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abigatran (simultanée ou 2 heures avant le ritonavir) : aucune interaction médicamenteuse significative.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Lopinavir/ritonavir : un rapport de cas qui a également été publié et qui ne démontre aucune interaction en le lopinavir/ritonavir et dabigatran.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Deux autres rapports de cas, l’un avec atazanavir/ritonavir et l’autre avec darunavir/ritonavir, ne démontrant aucune interaction significative ont été publiés.</w:t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Dabigatran (Pradaxa) + cobicistat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Cobicistat + dabigatran (simultanément ou 2 heures avant le cobicistat) : Contrairement au ritonavir, on observe une augmentation d’environ 2 fois la SSC du dabigatran. Il est recommandé d’éviter cette association.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vertAlign w:val="superscript"/>
          <w:rtl w:val="0"/>
        </w:rPr>
        <w:t xml:space="preserve">1-20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 xml:space="preserve"> : </w:t>
      </w:r>
    </w:p>
    <w:p w:rsidR="00000000" w:rsidDel="00000000" w:rsidP="00000000" w:rsidRDefault="00000000" w:rsidRPr="00000000" w14:paraId="0000002F">
      <w:pPr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Apixaban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Les monographies canadiennes d’apixaban, Prezista, Stribild, Genvoya, Prezcobix et Symtuza contre-indiquent cette association. Cependant la monographie américaine d’apixaban suggère de 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iminuer la dose de 50 %, sauf si la dose de départ est de 2,5 mg BI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Solutions de rechange 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Warfarine (Coumadin)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Dabigatran (Pradaxa)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Héparine de faible poids moléculaire (HFPM) :_______________.</w:t>
      </w:r>
    </w:p>
    <w:p w:rsidR="00000000" w:rsidDel="00000000" w:rsidP="00000000" w:rsidRDefault="00000000" w:rsidRPr="00000000" w14:paraId="00000035">
      <w:pPr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Edoxaban 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Diminuer la dose à 30 mg QD avec puissants inhibiteurs de la P-gp selon la monographie.</w:t>
      </w:r>
    </w:p>
    <w:p w:rsidR="00000000" w:rsidDel="00000000" w:rsidP="00000000" w:rsidRDefault="00000000" w:rsidRPr="00000000" w14:paraId="00000037">
      <w:pPr>
        <w:ind w:left="72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Solutions de rechange :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Warfarine (Coumadin)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Dabigatran (Pradaxa)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Héparine de faible poids moléculaire (HFPM) :_______________.</w:t>
      </w:r>
    </w:p>
    <w:p w:rsidR="00000000" w:rsidDel="00000000" w:rsidP="00000000" w:rsidRDefault="00000000" w:rsidRPr="00000000" w14:paraId="0000003B">
      <w:pPr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Rivaroxaban </w:t>
      </w:r>
    </w:p>
    <w:p w:rsidR="00000000" w:rsidDel="00000000" w:rsidP="00000000" w:rsidRDefault="00000000" w:rsidRPr="00000000" w14:paraId="0000003C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*Contre-indiqué*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Solution de rechange 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Warfarine (Coumadin)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Dabigatran (Pradaxa)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Héparine de faible poids moléculaire (HFPM) :_______________.</w:t>
      </w:r>
    </w:p>
    <w:p w:rsidR="00000000" w:rsidDel="00000000" w:rsidP="00000000" w:rsidRDefault="00000000" w:rsidRPr="00000000" w14:paraId="00000041">
      <w:pPr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Dabigatran + cobicistat</w:t>
      </w:r>
    </w:p>
    <w:p w:rsidR="00000000" w:rsidDel="00000000" w:rsidP="00000000" w:rsidRDefault="00000000" w:rsidRPr="00000000" w14:paraId="00000043">
      <w:pPr>
        <w:jc w:val="center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*Non recommandé*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Warfarine (Coumadin)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l’association avec le dabigatran ne peut être évité et que le risque de saignement est faible, conserver le dabigatran et exercer un suivi étroit de l’efficacité/innocuité.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Modifier la thérapie antirétrovirale pour une thérapie ne présentant  pas ce risque d’interaction médicamenteuse.</w:t>
      </w:r>
    </w:p>
    <w:p w:rsidR="00000000" w:rsidDel="00000000" w:rsidP="00000000" w:rsidRDefault="00000000" w:rsidRPr="00000000" w14:paraId="00000047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 xml:space="preserve">Suivi 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Surveiller efficacité et effets indésirables (saignement : anémie, hématome, hématurie, épistaxis, troubles gastro-intestinaux, hémorragie digestive et urinaire) des anticoagulants.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u w:val="single"/>
          <w:rtl w:val="0"/>
        </w:rPr>
        <w:t xml:space="preserve">Suggestion de la pharmacie ou nouvelle prescription</w:t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Téléphone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 : _____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Licence : __________    Signature : __________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 : ____________________     #Télécopieur : ________________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88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8C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8E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90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92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94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#Téléphone : ____________________</w:t>
        <w:tab/>
        <w:t xml:space="preserve">#Télécopieur : ____________________</w:t>
      </w:r>
    </w:p>
    <w:p w:rsidR="00000000" w:rsidDel="00000000" w:rsidP="00000000" w:rsidRDefault="00000000" w:rsidRPr="00000000" w14:paraId="00000095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Références :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Monographie : Apixaban (Eliquis), Pfizer, Québec, Canada.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23 octobre 2018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Monographie :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Elvitégravir, cobicistat, emtricitabine, ténofovir disoproxil fumarate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Stribild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Gilead Sciences, Ontario, Canada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12 avril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Frost C, Wang J, Nepal S et al. Effect of ketoconazole and diltiazem on the pharmacokinetics of apixaban, an oral direct factor Xa inhibitor.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Clin Pharmacol.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2009; 49:1091–1130.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Egan G, Hughes CA, Ackman ML. Drug interactions between antiplatelet or novel anticoagulant medications and antiretroviral medications. Ann Pharmacother. 2014. June; 48 (6): 734-40.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Apixaban (Eliquis) Prescribing Information, Bristol-Myers Squibb - Pfizer, New Jersey - New York, USA, July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Bleeding with dabigatran, rivaroxaban, apixaban. No antidote, and little clinical experience. Prescrire Int. 2013 Jun; 22 (139): 155-9.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Rivaroxaban (Xarelto), Bayer, Ontario, Canada, 13 sept 2018.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Mueck W, Kubitza D, Becka M. Co-administration of rivaroxaban with drugs that share its elimination pathways: pharmacokinetic effects in healthy subjects. Br J Clin Pharmacol. 2013 Sep; 76 (3): 455-66. 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Lakatos B, Stoeckle M, Elzi L, et al. Gastrointestinal bleeding associated with rivaroxaban administration in a treated patient infected with human immunodeficiency virus. Swiss medical weekly 2014; 144: w13906.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Dabigatran (Pradaxa), Boehringer Ingelheim Canada Ltd., Ontario, Canada, 11 août 2016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Horn J, Hansten P. Dabigatran: a new oral anticoagulant. Pharm times. 2010; 10: 59.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Hartter S, Sennewald R, et al. Oral bioavailibility of dabigatran etexilate (Pradaxa) after co-medication with verapamil in healthy subjects. Br J Clin Pharmacol. 2013 Apr; 75 (4): 1053-62.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Barco S, Coppens M, van den Dool EJ, et al. Successful co-administration of dabigatran etexilate and protease inhibitors ritonavir/lopinavir in a patient with atrial fibrillation. Thromb Haemost 2014 Oct;112(4):836-8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bookmarkStart w:colFirst="0" w:colLast="0" w:name="_jdqye1bh1asf" w:id="0"/>
      <w:bookmarkEnd w:id="0"/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Perram J, Joseph J, Holloway C. Novel oral anticoagulants and HIV: dabigatran use with antiretrovirals. BMJ Case Rep. 2015 Nov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bookmarkStart w:colFirst="0" w:colLast="0" w:name="_n3opyxtl2fo1" w:id="1"/>
      <w:bookmarkEnd w:id="1"/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Kumar P, Gordon LA, Brooks KM, George JM, Kellogg A et al. Differential influence of the antiretroviral pharmacokinetic enhancers ritonavir and cobicistat on intestinal P-glycoprotein transport and the pharmacokinetic/pharmacodynamic disposition of dabigatran. Antimicrob Agents Chemother. 2017 Oct 24; 61(11).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bookmarkStart w:colFirst="0" w:colLast="0" w:name="_ui1mhrav892" w:id="2"/>
      <w:bookmarkEnd w:id="2"/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Kakadiva PP, Higginson RT and Fulco PP. Ritonavir-Boosted Protease Inhibitors but Not Cobicistat Appear Safe in HIV-Positive Patients Ingesting Dabigatran. Antimicrob agents Chemother 2018 Jan 25; 62(2).</w:t>
      </w:r>
    </w:p>
    <w:p w:rsidR="00000000" w:rsidDel="00000000" w:rsidP="00000000" w:rsidRDefault="00000000" w:rsidRPr="00000000" w14:paraId="000000A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4nnidxc3uttw" w:id="3"/>
      <w:bookmarkEnd w:id="3"/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Edoxaban (Lixiana), Servier, Québec, Canada, 26 juil 2017.</w:t>
      </w:r>
    </w:p>
    <w:p w:rsidR="00000000" w:rsidDel="00000000" w:rsidP="00000000" w:rsidRDefault="00000000" w:rsidRPr="00000000" w14:paraId="000000A9">
      <w:pPr>
        <w:numPr>
          <w:ilvl w:val="0"/>
          <w:numId w:val="10"/>
        </w:numPr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62626"/>
          <w:sz w:val="22"/>
          <w:szCs w:val="22"/>
          <w:rtl w:val="0"/>
        </w:rPr>
        <w:t xml:space="preserve">Monographie :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Elvitégravir, cobicistat, emtricitabine, ténofovir alafénamide (Genvoya) Gilead Sciences, Ontario, Canada. 12 avril 2018.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mskpvifi9um4" w:id="4"/>
      <w:bookmarkEnd w:id="4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Monographies des inhibiteurs de la protéase consultées en 201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Guide thérapeutique VIH. [En ligne]. Disponible 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0563c1"/>
            <w:sz w:val="22"/>
            <w:szCs w:val="22"/>
            <w:u w:val="single"/>
            <w:rtl w:val="0"/>
          </w:rPr>
          <w:t xml:space="preserve">http://www.guidetherapeutiquevih.com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inherit" w:cs="inherit" w:eastAsia="inherit" w:hAnsi="inherit"/>
          <w:sz w:val="14"/>
          <w:szCs w:val="14"/>
        </w:rPr>
      </w:pPr>
      <w:r w:rsidDel="00000000" w:rsidR="00000000" w:rsidRPr="00000000">
        <w:rPr>
          <w:rFonts w:ascii="inherit" w:cs="inherit" w:eastAsia="inherit" w:hAnsi="inherit"/>
          <w:sz w:val="14"/>
          <w:szCs w:val="14"/>
          <w:rtl w:val="0"/>
        </w:rPr>
        <w:br w:type="textWrapping"/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428bca"/>
            <w:sz w:val="21"/>
            <w:szCs w:val="21"/>
            <w:highlight w:val="whit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inherit" w:cs="inherit" w:eastAsia="inherit" w:hAnsi="inherit"/>
          <w:sz w:val="14"/>
          <w:szCs w:val="1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inherit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tl w:val="0"/>
      </w:rPr>
      <w:t xml:space="preserve">                                                                            Novem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bre 201</w:t>
    </w:r>
    <w:r w:rsidDel="00000000" w:rsidR="00000000" w:rsidRPr="00000000">
      <w:rPr>
        <w:rtl w:val="0"/>
      </w:rPr>
      <w:t xml:space="preserve">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uidetherapeutiquevih.com" TargetMode="External"/><Relationship Id="rId7" Type="http://schemas.openxmlformats.org/officeDocument/2006/relationships/hyperlink" Target="http://www.ncbi.nlm.nih.gov/pubmed/24990596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