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Opinion pharmaceutique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Century Gothic" w:cs="Century Gothic" w:eastAsia="Century Gothic" w:hAnsi="Century Gothic"/>
          <w:b w:val="1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rtl w:val="0"/>
        </w:rPr>
        <w:t xml:space="preserve">Interaction entre les antiacides et le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Bictégravir (Biktarvy)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Patient(e) : _________________________</w:t>
        <w:tab/>
        <w:tab/>
        <w:tab/>
        <w:t xml:space="preserve">DDN : _____/_____/_____</w:t>
      </w:r>
    </w:p>
    <w:p w:rsidR="00000000" w:rsidDel="00000000" w:rsidP="00000000" w:rsidRDefault="00000000" w:rsidRPr="00000000" w14:paraId="00000006">
      <w:pPr>
        <w:contextualSpacing w:val="0"/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Après avoir analysé le dossier de votre patient(e), j’ai relevé un problème relié à sa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pharmacothérapie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contextualSpacing w:val="0"/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both"/>
        <w:rPr>
          <w:rFonts w:ascii="Century Gothic" w:cs="Century Gothic" w:eastAsia="Century Gothic" w:hAnsi="Century Gothic"/>
          <w:b w:val="1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rtl w:val="0"/>
        </w:rPr>
        <w:t xml:space="preserve">Interaction entre :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Antiacides (à base de magnésium, aluminium et/ou calcium) :_______________. </w:t>
      </w:r>
    </w:p>
    <w:p w:rsidR="00000000" w:rsidDel="00000000" w:rsidP="00000000" w:rsidRDefault="00000000" w:rsidRPr="00000000" w14:paraId="0000000B">
      <w:pPr>
        <w:contextualSpacing w:val="0"/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Et </w:t>
      </w:r>
    </w:p>
    <w:p w:rsidR="00000000" w:rsidDel="00000000" w:rsidP="00000000" w:rsidRDefault="00000000" w:rsidRPr="00000000" w14:paraId="0000000C">
      <w:pPr>
        <w:ind w:left="0" w:firstLine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Bictégravir/Emtricitabine/Tenofovir Alafenamide (Biktarvy)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Une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2"/>
          <w:szCs w:val="22"/>
          <w:rtl w:val="0"/>
        </w:rPr>
        <w:t xml:space="preserve">↓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 de l’efficacité clinique du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Bictégravir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 peut survenir lors de l’administration avec un antiacide à base de cations (Ca, Al, Mg, etc.). Voici pourquoi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superscript"/>
          <w:rtl w:val="0"/>
        </w:rPr>
        <w:t xml:space="preserve">1-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superscript"/>
          <w:rtl w:val="0"/>
        </w:rPr>
        <w:t xml:space="preserve">2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 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antiacides sont à base de cations (Ca, Al, Mg, etc.).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Ces cations peuvent se fixer au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Bictégravir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Cette chélation peut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↓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son absorption et possiblement son efficacité clinique.</w:t>
      </w:r>
    </w:p>
    <w:p w:rsidR="00000000" w:rsidDel="00000000" w:rsidP="00000000" w:rsidRDefault="00000000" w:rsidRPr="00000000" w14:paraId="00000012">
      <w:pPr>
        <w:contextualSpacing w:val="0"/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rtl w:val="0"/>
        </w:rPr>
        <w:t xml:space="preserve">Pour de plus amples informations, voici l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es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rtl w:val="0"/>
        </w:rPr>
        <w:t xml:space="preserve">études évaluant l’interaction ci-haut 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vertAlign w:val="superscript"/>
          <w:rtl w:val="0"/>
        </w:rPr>
        <w:t xml:space="preserve">1-2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95"/>
        <w:gridCol w:w="3135"/>
        <w:gridCol w:w="3375"/>
        <w:tblGridChange w:id="0">
          <w:tblGrid>
            <w:gridCol w:w="2895"/>
            <w:gridCol w:w="3135"/>
            <w:gridCol w:w="3375"/>
          </w:tblGrid>
        </w:tblGridChange>
      </w:tblGrid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contextualSpacing w:val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Antiacides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contextualSpacing w:val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Bictégravir 50 mg - à jeun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contextualSpacing w:val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Bictégravir 50 mg - avec nourriture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contextualSpacing w:val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Hydroxyde d’aluminium et   de magnésium </w:t>
            </w:r>
          </w:p>
          <w:p w:rsidR="00000000" w:rsidDel="00000000" w:rsidP="00000000" w:rsidRDefault="00000000" w:rsidRPr="00000000" w14:paraId="00000019">
            <w:pPr>
              <w:widowControl w:val="0"/>
              <w:contextualSpacing w:val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(20 mL dose unique)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contextualSpacing w:val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Prise simultanée :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↓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79% SSC</w:t>
            </w:r>
          </w:p>
          <w:p w:rsidR="00000000" w:rsidDel="00000000" w:rsidP="00000000" w:rsidRDefault="00000000" w:rsidRPr="00000000" w14:paraId="0000001B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2h avant Biktarvy :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↓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52% SSC</w:t>
            </w:r>
          </w:p>
          <w:p w:rsidR="00000000" w:rsidDel="00000000" w:rsidP="00000000" w:rsidRDefault="00000000" w:rsidRPr="00000000" w14:paraId="0000001D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2h après Biktarvy : inchangé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contextualSpacing w:val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Prise simultanée :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↓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47 % SSC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contextualSpacing w:val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Carbonate de calcium</w:t>
            </w:r>
          </w:p>
          <w:p w:rsidR="00000000" w:rsidDel="00000000" w:rsidP="00000000" w:rsidRDefault="00000000" w:rsidRPr="00000000" w14:paraId="00000021">
            <w:pPr>
              <w:widowControl w:val="0"/>
              <w:contextualSpacing w:val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(1,2 g en dose unique)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Prise simultanée : </w:t>
            </w:r>
          </w:p>
          <w:p w:rsidR="00000000" w:rsidDel="00000000" w:rsidP="00000000" w:rsidRDefault="00000000" w:rsidRPr="00000000" w14:paraId="00000023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↓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33% SSC et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↓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42% Cmax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Prise simultanée : </w:t>
            </w:r>
          </w:p>
          <w:p w:rsidR="00000000" w:rsidDel="00000000" w:rsidP="00000000" w:rsidRDefault="00000000" w:rsidRPr="00000000" w14:paraId="00000025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18"/>
                <w:szCs w:val="18"/>
                <w:shd w:fill="efefef" w:val="clear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SSC et Cmax inchangées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widowControl w:val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jc w:val="both"/>
        <w:rPr>
          <w:rFonts w:ascii="Century Gothic" w:cs="Century Gothic" w:eastAsia="Century Gothic" w:hAnsi="Century Gothic"/>
          <w:b w:val="1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rtl w:val="0"/>
        </w:rPr>
        <w:t xml:space="preserve">Options thérapeutiques possibles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vertAlign w:val="superscript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rtl w:val="0"/>
        </w:rPr>
        <w:t xml:space="preserve">: </w:t>
      </w:r>
    </w:p>
    <w:p w:rsidR="00000000" w:rsidDel="00000000" w:rsidP="00000000" w:rsidRDefault="00000000" w:rsidRPr="00000000" w14:paraId="00000028">
      <w:pPr>
        <w:contextualSpacing w:val="0"/>
        <w:jc w:val="both"/>
        <w:rPr>
          <w:rFonts w:ascii="Century Gothic" w:cs="Century Gothic" w:eastAsia="Century Gothic" w:hAnsi="Century Gothic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jc w:val="both"/>
        <w:rPr>
          <w:rFonts w:ascii="Century Gothic" w:cs="Century Gothic" w:eastAsia="Century Gothic" w:hAnsi="Century Gothic"/>
          <w:i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Bictégravir pris à jeun : 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Suggérer de prendre Bictégravir 2 heures avant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ou 2 heures après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un antiacide à base de cations. 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Suggérer de prendre le Bictégravir avec de la nourriture et aucun espacement de dose ne sera nécessaire.</w:t>
      </w:r>
    </w:p>
    <w:p w:rsidR="00000000" w:rsidDel="00000000" w:rsidP="00000000" w:rsidRDefault="00000000" w:rsidRPr="00000000" w14:paraId="0000002C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Bictégravir pris avec de la nourriture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Le Bictégravir peut-être pris en même temps avec un antiacide à base de cations.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contextualSpacing w:val="0"/>
        <w:jc w:val="both"/>
        <w:rPr>
          <w:rFonts w:ascii="Century Gothic" w:cs="Century Gothic" w:eastAsia="Century Gothic" w:hAnsi="Century Gothic"/>
          <w:b w:val="1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rtl w:val="0"/>
        </w:rPr>
        <w:t xml:space="preserve">Suivi :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Surveiller l’efficacité thérapeutique du traitement anti-VIH, charge virale et CD4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+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Suggestion de la pharmacie ou nouvelle prescription :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entury Gothic" w:cs="Century Gothic" w:eastAsia="Century Gothic" w:hAnsi="Century Gothic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96"/>
        <w:tblGridChange w:id="0">
          <w:tblGrid>
            <w:gridCol w:w="9396"/>
          </w:tblGrid>
        </w:tblGridChange>
      </w:tblGrid>
      <w:tr>
        <w:tc>
          <w:tcPr/>
          <w:p w:rsidR="00000000" w:rsidDel="00000000" w:rsidP="00000000" w:rsidRDefault="00000000" w:rsidRPr="00000000" w14:paraId="00000033">
            <w:pPr>
              <w:contextualSpacing w:val="0"/>
              <w:jc w:val="both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rtl w:val="0"/>
              </w:rPr>
              <w:t xml:space="preserve">Date : _____/_____/_____</w:t>
            </w:r>
          </w:p>
          <w:p w:rsidR="00000000" w:rsidDel="00000000" w:rsidP="00000000" w:rsidRDefault="00000000" w:rsidRPr="00000000" w14:paraId="00000034">
            <w:pPr>
              <w:contextualSpacing w:val="0"/>
              <w:jc w:val="both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rtl w:val="0"/>
              </w:rPr>
              <w:t xml:space="preserve">Patient(e) : ________________________          DDN : _____/_____/_____</w:t>
            </w:r>
          </w:p>
          <w:p w:rsidR="00000000" w:rsidDel="00000000" w:rsidP="00000000" w:rsidRDefault="00000000" w:rsidRPr="00000000" w14:paraId="00000035">
            <w:pPr>
              <w:contextualSpacing w:val="0"/>
              <w:jc w:val="both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rtl w:val="0"/>
              </w:rPr>
              <w:t xml:space="preserve"># Téléphone : _____________________________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contextualSpacing w:val="0"/>
              <w:jc w:val="both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rtl w:val="0"/>
              </w:rPr>
              <w:t xml:space="preserve">Rx : </w:t>
            </w:r>
          </w:p>
          <w:p w:rsidR="00000000" w:rsidDel="00000000" w:rsidP="00000000" w:rsidRDefault="00000000" w:rsidRPr="00000000" w14:paraId="00000037">
            <w:pPr>
              <w:contextualSpacing w:val="0"/>
              <w:jc w:val="both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contextualSpacing w:val="0"/>
              <w:jc w:val="both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contextualSpacing w:val="0"/>
              <w:jc w:val="both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contextualSpacing w:val="0"/>
              <w:jc w:val="both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contextualSpacing w:val="0"/>
              <w:jc w:val="both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rtl w:val="0"/>
              </w:rPr>
              <w:t xml:space="preserve">Ren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rtl w:val="0"/>
              </w:rPr>
              <w:t xml:space="preserve">ouvellement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s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rtl w:val="0"/>
              </w:rPr>
              <w:t xml:space="preserve">: _____</w:t>
            </w:r>
          </w:p>
          <w:p w:rsidR="00000000" w:rsidDel="00000000" w:rsidP="00000000" w:rsidRDefault="00000000" w:rsidRPr="00000000" w14:paraId="0000003C">
            <w:pPr>
              <w:contextualSpacing w:val="0"/>
              <w:jc w:val="both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contextualSpacing w:val="0"/>
              <w:jc w:val="both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contextualSpacing w:val="0"/>
              <w:jc w:val="both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contextualSpacing w:val="0"/>
              <w:jc w:val="both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rtl w:val="0"/>
              </w:rPr>
              <w:t xml:space="preserve">Médecin : __________  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Numéro de pratique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rtl w:val="0"/>
              </w:rPr>
              <w:t xml:space="preserve"> : __________    Signature : __________</w:t>
            </w:r>
          </w:p>
          <w:p w:rsidR="00000000" w:rsidDel="00000000" w:rsidP="00000000" w:rsidRDefault="00000000" w:rsidRPr="00000000" w14:paraId="00000040">
            <w:pPr>
              <w:contextualSpacing w:val="0"/>
              <w:jc w:val="both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rtl w:val="0"/>
              </w:rPr>
              <w:t xml:space="preserve">Adresse : ____________________________________________</w:t>
            </w:r>
          </w:p>
          <w:p w:rsidR="00000000" w:rsidDel="00000000" w:rsidP="00000000" w:rsidRDefault="00000000" w:rsidRPr="00000000" w14:paraId="00000041">
            <w:pPr>
              <w:contextualSpacing w:val="0"/>
              <w:jc w:val="both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rtl w:val="0"/>
              </w:rPr>
              <w:t xml:space="preserve">#Téléphone : ____________________     #Téléccopieur : ________________</w:t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contextualSpacing w:val="0"/>
              <w:jc w:val="center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rtl w:val="0"/>
              </w:rPr>
              <w:t xml:space="preserve">Certification du prescripteur </w:t>
            </w:r>
          </w:p>
          <w:p w:rsidR="00000000" w:rsidDel="00000000" w:rsidP="00000000" w:rsidRDefault="00000000" w:rsidRPr="00000000" w14:paraId="00000043">
            <w:pPr>
              <w:contextualSpacing w:val="0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rtl w:val="0"/>
              </w:rPr>
              <w:t xml:space="preserve">Je certifie que :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cette ordonnance est une ordonnance originale,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 pharmacien identifié précité est le seul destinataire,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l’original ne sera pas réutilisé.</w:t>
            </w:r>
          </w:p>
        </w:tc>
      </w:tr>
    </w:tbl>
    <w:p w:rsidR="00000000" w:rsidDel="00000000" w:rsidP="00000000" w:rsidRDefault="00000000" w:rsidRPr="00000000" w14:paraId="00000047">
      <w:pPr>
        <w:contextualSpacing w:val="0"/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Veuillez svp nous faire parvenir une copie de cette page avec votre conduite à tenir. </w:t>
      </w:r>
    </w:p>
    <w:p w:rsidR="00000000" w:rsidDel="00000000" w:rsidP="00000000" w:rsidRDefault="00000000" w:rsidRPr="00000000" w14:paraId="00000049">
      <w:pPr>
        <w:contextualSpacing w:val="0"/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Si vous avez besoin d’information complémentaire, n’hésitez pas à communiquer avec moi. </w:t>
      </w:r>
    </w:p>
    <w:p w:rsidR="00000000" w:rsidDel="00000000" w:rsidP="00000000" w:rsidRDefault="00000000" w:rsidRPr="00000000" w14:paraId="0000004B">
      <w:pPr>
        <w:contextualSpacing w:val="0"/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Cordialement, </w:t>
      </w:r>
    </w:p>
    <w:p w:rsidR="00000000" w:rsidDel="00000000" w:rsidP="00000000" w:rsidRDefault="00000000" w:rsidRPr="00000000" w14:paraId="0000004D">
      <w:pPr>
        <w:contextualSpacing w:val="0"/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Pharmacien(ne) : ____________________</w:t>
        <w:tab/>
        <w:t xml:space="preserve">Pharmacie : ____________________</w:t>
      </w:r>
    </w:p>
    <w:p w:rsidR="00000000" w:rsidDel="00000000" w:rsidP="00000000" w:rsidRDefault="00000000" w:rsidRPr="00000000" w14:paraId="0000004F">
      <w:pPr>
        <w:contextualSpacing w:val="0"/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#Téléphone : ____________________</w:t>
        <w:tab/>
        <w:t xml:space="preserve">#Télécopieur : ____________________</w:t>
      </w:r>
    </w:p>
    <w:p w:rsidR="00000000" w:rsidDel="00000000" w:rsidP="00000000" w:rsidRDefault="00000000" w:rsidRPr="00000000" w14:paraId="00000050">
      <w:pPr>
        <w:contextualSpacing w:val="0"/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contextualSpacing w:val="0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Références : </w:t>
      </w:r>
    </w:p>
    <w:p w:rsidR="00000000" w:rsidDel="00000000" w:rsidP="00000000" w:rsidRDefault="00000000" w:rsidRPr="00000000" w14:paraId="0000005D">
      <w:pPr>
        <w:numPr>
          <w:ilvl w:val="0"/>
          <w:numId w:val="4"/>
        </w:numPr>
        <w:ind w:left="720" w:hanging="360"/>
        <w:contextualSpacing w:val="1"/>
        <w:jc w:val="both"/>
        <w:rPr/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Monographie : BIKTARVY (comprimés de bictegravir, emtricitabine, tenofovir alafenamide à 50, 200 et 25 mg respectivement), numéro de contrôle : 203718, Gilead Sciences Canada Inc., Ontario, Canada, Juillet 2018.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Guide thérapeutique VIH. [En ligne]. Disponible : </w:t>
      </w:r>
      <w:r w:rsidDel="00000000" w:rsidR="00000000" w:rsidRPr="00000000">
        <w:rPr>
          <w:rFonts w:ascii="Century Gothic" w:cs="Century Gothic" w:eastAsia="Century Gothic" w:hAnsi="Century Gothic"/>
          <w:color w:val="0000ff"/>
          <w:sz w:val="22"/>
          <w:szCs w:val="22"/>
          <w:rtl w:val="0"/>
        </w:rPr>
        <w:t xml:space="preserve">http://www.guidetherapeutiquevih.com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www.guidetherapeutiqueVIH.com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tl w:val="0"/>
      </w:rPr>
      <w:t xml:space="preserve">                                                                              Septembre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2018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Helvetica Neue" w:cs="Helvetica Neue" w:eastAsia="Helvetica Neue" w:hAnsi="Helvetica Neue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