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la mirtazapine et les antirétroviraux combinés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au ritonavir ou au 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Mirtazapine (Remeron)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</w:t>
      </w:r>
    </w:p>
    <w:p w:rsidR="00000000" w:rsidDel="00000000" w:rsidP="00000000" w:rsidRDefault="00000000" w:rsidRPr="00000000" w14:paraId="0000000C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Atazanavir/Cobicistat (Evotaz)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lvitégravir/Cobicistat/Emtricitabine/Ténofovir (Stribild, Genvoya)</w:t>
      </w:r>
    </w:p>
    <w:p w:rsidR="00000000" w:rsidDel="00000000" w:rsidP="00000000" w:rsidRDefault="00000000" w:rsidRPr="00000000" w14:paraId="00000011">
      <w:pPr>
        <w:ind w:left="36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Ritonavir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Lopinavir/Ritonavir (Kaletra)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du risque d’effets indésirables de la mirtazapine peut survenir  lors de l’administration concomitante avec un antirétroviral nommé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1-4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cobicistat et le ritonavir sont des inhibiteurs des cytochromes (CYP) 3A4 et 2D6.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métabolisme de la mirtazapine implique ces cytochromes.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inhibition peut augmenter la concentration plasmatique de la mirtazapine et le risque d’effets indésirables.</w:t>
      </w:r>
    </w:p>
    <w:p w:rsidR="00000000" w:rsidDel="00000000" w:rsidP="00000000" w:rsidRDefault="00000000" w:rsidRPr="00000000" w14:paraId="0000001A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amples informations voici des études évaluant le potentiel d’interaction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Mirtazapine + kétoconazole  (puissant inhibiteur du CYP 3A4)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1, 4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↑ de 50% la surface sous la courbe (SSC) de la  mirtazapine.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Parmi les 24 patients à l’étude, 2 patients auraient perdu conscience (1 syncope et 1 collapsus circulatoire).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Mirtazapine + paroxetine (puissant inhibiteur du CYP 2D6)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1, 4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↑ des concentrations plasmatiques de la mirtazapine et de son métabolite déméthylé d’environ 18 et 25%.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Mirtazapine + ritonavir (étude de modeling pharmacocinétique)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3, 4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↑ prévue de 52% de la SSC de la mirtazapine.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monographie de mirtazapine recommande d’être prudent lors de l’administration de la mirtazapine avec les inhibiteurs du CYP3A4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1,4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Options thérapeutiques possibles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Si la mirtazapine est ajoutée à une thérapie antirétrovirale déjà existante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Débuter la mirtazapine avec une petite dose puis augmenter graduellement la dose selon efficacité et tolérance.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Si le patient est déjà sous mirtazapine et que la thérapie antirétrovirale est débutée.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Diminuer la dose actuelle de la mirtazapine puis augmenter graduellement la dose selon efficacité et tolérance.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Patient actuellement sous traitement avec cette association et la tolérant.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Conserver  cette combinaison et exercer un suivi étroit des effets indésirables.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 ECG de contrôle peut également être faite chez des patients avec possibilité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désordres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électrolytiques ou qui présentent d’autres facteurs de risque d’allongement de l’intervalle QTc. S’assurer de contrôler les désordres électrolytiques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Suivi 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Surveiller les  effets indésirables de la mirtazapine (sécheresse de la bouche, somnolence, augmentation de l’appétit, constipation, étourdissements).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ECG et électrolytes surtout pour les patients à risque d’allongement du QTc.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3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3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3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3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4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Renouvellements : _____</w:t>
            </w:r>
          </w:p>
          <w:p w:rsidR="00000000" w:rsidDel="00000000" w:rsidP="00000000" w:rsidRDefault="00000000" w:rsidRPr="00000000" w14:paraId="0000004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 Numéro de pratique : __________    Signature : __________</w:t>
            </w:r>
          </w:p>
          <w:p w:rsidR="00000000" w:rsidDel="00000000" w:rsidP="00000000" w:rsidRDefault="00000000" w:rsidRPr="00000000" w14:paraId="0000004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4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 : ________________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5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5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5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5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5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 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5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Références : </w:t>
      </w:r>
    </w:p>
    <w:p w:rsidR="00000000" w:rsidDel="00000000" w:rsidP="00000000" w:rsidRDefault="00000000" w:rsidRPr="00000000" w14:paraId="0000005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left="72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Monographie : Mirtazapine (Remeron RD), Merck Canada, Québec, Canada, 12 juin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left="72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 : Ritonavir (Norvir), Corporation AbbVie, Québec, Canada, 27 novembre 2017.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left="720" w:hanging="360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Siccardi M, Marzolini C, Seden K et al. Prediction of drug-drug interactions between various antidepressants and efavirenz or boosted protease inhibitors using a physiologically based pharmacokinetic modeling approach. Clin Pharmacokit 2013;52;582-592.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ind w:left="720" w:hanging="360"/>
        <w:contextualSpacing w:val="0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Guide thérapeutique VIH. [En ligne]. Disponible : </w:t>
      </w:r>
      <w:r w:rsidDel="00000000" w:rsidR="00000000" w:rsidRPr="00000000">
        <w:rPr>
          <w:rFonts w:ascii="Century Gothic" w:cs="Century Gothic" w:eastAsia="Century Gothic" w:hAnsi="Century Gothic"/>
          <w:color w:val="0000ff"/>
          <w:sz w:val="22"/>
          <w:szCs w:val="22"/>
          <w:rtl w:val="0"/>
        </w:rPr>
        <w:t xml:space="preserve">http://www.guidetherapeutiquevih.com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tabs>
          <w:tab w:val="left" w:pos="220"/>
          <w:tab w:val="left" w:pos="720"/>
        </w:tabs>
        <w:ind w:left="720"/>
        <w:contextualSpacing w:val="0"/>
        <w:jc w:val="both"/>
        <w:rPr>
          <w:rFonts w:ascii="Century Gothic" w:cs="Century Gothic" w:eastAsia="Century Gothic" w:hAnsi="Century Gothic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inherit" w:cs="inherit" w:eastAsia="inherit" w:hAnsi="inherit"/>
          <w:sz w:val="14"/>
          <w:szCs w:val="14"/>
        </w:rPr>
      </w:pPr>
      <w:r w:rsidDel="00000000" w:rsidR="00000000" w:rsidRPr="00000000">
        <w:rPr>
          <w:rFonts w:ascii="inherit" w:cs="inherit" w:eastAsia="inherit" w:hAnsi="inherit"/>
          <w:sz w:val="14"/>
          <w:szCs w:val="14"/>
          <w:rtl w:val="0"/>
        </w:rPr>
        <w:br w:type="textWrapping"/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428bca"/>
            <w:sz w:val="21"/>
            <w:szCs w:val="21"/>
            <w:highlight w:val="whit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both"/>
        <w:rPr>
          <w:rFonts w:ascii="inherit" w:cs="inherit" w:eastAsia="inherit" w:hAnsi="inherit"/>
          <w:sz w:val="14"/>
          <w:szCs w:val="1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inheri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tl w:val="0"/>
      </w:rPr>
      <w:t xml:space="preserve">                                                                                  Septembre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cbi.nlm.nih.gov/pubmed/24990596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