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Opinion pharmaceutique </w:t>
      </w:r>
    </w:p>
    <w:p w:rsidR="00000000" w:rsidDel="00000000" w:rsidP="00000000" w:rsidRDefault="00000000" w:rsidRPr="00000000" w14:paraId="00000001">
      <w:pPr>
        <w:contextualSpacing w:val="0"/>
        <w:jc w:val="center"/>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02">
      <w:pPr>
        <w:contextualSpacing w:val="0"/>
        <w:jc w:val="center"/>
        <w:rPr>
          <w:rFonts w:ascii="Century Gothic" w:cs="Century Gothic" w:eastAsia="Century Gothic" w:hAnsi="Century Gothic"/>
          <w:b w:val="1"/>
          <w:sz w:val="22"/>
          <w:szCs w:val="22"/>
        </w:rPr>
      </w:pPr>
      <w:r w:rsidDel="00000000" w:rsidR="00000000" w:rsidRPr="00000000">
        <w:rPr>
          <w:rFonts w:ascii="Century Gothic" w:cs="Century Gothic" w:eastAsia="Century Gothic" w:hAnsi="Century Gothic"/>
          <w:b w:val="1"/>
          <w:sz w:val="22"/>
          <w:szCs w:val="22"/>
          <w:rtl w:val="0"/>
        </w:rPr>
        <w:t xml:space="preserve">Interaction entre les antagonistes des récepteurs adrénergiques alpha-1 sélectifs ou non et les antirétroviraux combinés au ritonavir ou au cobicistat </w:t>
      </w:r>
    </w:p>
    <w:p w:rsidR="00000000" w:rsidDel="00000000" w:rsidP="00000000" w:rsidRDefault="00000000" w:rsidRPr="00000000" w14:paraId="00000003">
      <w:pPr>
        <w:contextualSpacing w:val="0"/>
        <w:jc w:val="center"/>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04">
      <w:pPr>
        <w:contextualSpacing w:val="0"/>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Patient(e) : _________________________</w:t>
        <w:tab/>
        <w:tab/>
        <w:tab/>
        <w:t xml:space="preserve">DDN : _____/_____/_____</w:t>
      </w:r>
    </w:p>
    <w:p w:rsidR="00000000" w:rsidDel="00000000" w:rsidP="00000000" w:rsidRDefault="00000000" w:rsidRPr="00000000" w14:paraId="00000005">
      <w:pPr>
        <w:contextualSpacing w:val="0"/>
        <w:jc w:val="both"/>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06">
      <w:pPr>
        <w:contextualSpacing w:val="0"/>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Après avoir analysé le dossier de votre patient(e), j’ai relevé un problème relié à sa pharmacothérapie. </w:t>
      </w:r>
    </w:p>
    <w:p w:rsidR="00000000" w:rsidDel="00000000" w:rsidP="00000000" w:rsidRDefault="00000000" w:rsidRPr="00000000" w14:paraId="00000007">
      <w:pPr>
        <w:contextualSpacing w:val="0"/>
        <w:jc w:val="both"/>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08">
      <w:pPr>
        <w:contextualSpacing w:val="0"/>
        <w:jc w:val="both"/>
        <w:rPr>
          <w:rFonts w:ascii="Century Gothic" w:cs="Century Gothic" w:eastAsia="Century Gothic" w:hAnsi="Century Gothic"/>
          <w:b w:val="1"/>
          <w:sz w:val="22"/>
          <w:szCs w:val="22"/>
        </w:rPr>
      </w:pPr>
      <w:r w:rsidDel="00000000" w:rsidR="00000000" w:rsidRPr="00000000">
        <w:rPr>
          <w:rFonts w:ascii="Century Gothic" w:cs="Century Gothic" w:eastAsia="Century Gothic" w:hAnsi="Century Gothic"/>
          <w:b w:val="1"/>
          <w:sz w:val="22"/>
          <w:szCs w:val="22"/>
          <w:rtl w:val="0"/>
        </w:rPr>
        <w:t xml:space="preserve">Interaction entre </w:t>
      </w:r>
    </w:p>
    <w:p w:rsidR="00000000" w:rsidDel="00000000" w:rsidP="00000000" w:rsidRDefault="00000000" w:rsidRPr="00000000" w14:paraId="0000000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Alfuzosine (Xatral)</w:t>
      </w:r>
    </w:p>
    <w:p w:rsidR="00000000" w:rsidDel="00000000" w:rsidP="00000000" w:rsidRDefault="00000000" w:rsidRPr="00000000" w14:paraId="0000000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Doxazosine (Cardura)</w:t>
      </w:r>
    </w:p>
    <w:p w:rsidR="00000000" w:rsidDel="00000000" w:rsidP="00000000" w:rsidRDefault="00000000" w:rsidRPr="00000000" w14:paraId="0000000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Prazosine (Minipress)</w:t>
      </w:r>
    </w:p>
    <w:p w:rsidR="00000000" w:rsidDel="00000000" w:rsidP="00000000" w:rsidRDefault="00000000" w:rsidRPr="00000000" w14:paraId="0000000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Silodosine (Rapaflo)</w:t>
      </w:r>
    </w:p>
    <w:p w:rsidR="00000000" w:rsidDel="00000000" w:rsidP="00000000" w:rsidRDefault="00000000" w:rsidRPr="00000000" w14:paraId="0000000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Tamsulosine (Flomax CR)</w:t>
      </w:r>
    </w:p>
    <w:p w:rsidR="00000000" w:rsidDel="00000000" w:rsidP="00000000" w:rsidRDefault="00000000" w:rsidRPr="00000000" w14:paraId="0000000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Térazosine (Hytrin)</w:t>
      </w:r>
    </w:p>
    <w:p w:rsidR="00000000" w:rsidDel="00000000" w:rsidP="00000000" w:rsidRDefault="00000000" w:rsidRPr="00000000" w14:paraId="0000000F">
      <w:pPr>
        <w:contextualSpacing w:val="0"/>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Et </w:t>
      </w:r>
    </w:p>
    <w:p w:rsidR="00000000" w:rsidDel="00000000" w:rsidP="00000000" w:rsidRDefault="00000000" w:rsidRPr="00000000" w14:paraId="00000010">
      <w:pPr>
        <w:ind w:left="0" w:firstLine="0"/>
        <w:contextualSpacing w:val="0"/>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i w:val="1"/>
          <w:sz w:val="22"/>
          <w:szCs w:val="22"/>
          <w:rtl w:val="0"/>
        </w:rPr>
        <w:t xml:space="preserve">Cobicistat</w:t>
      </w:r>
      <w:r w:rsidDel="00000000" w:rsidR="00000000" w:rsidRPr="00000000">
        <w:rPr>
          <w:rtl w:val="0"/>
        </w:rPr>
      </w:r>
    </w:p>
    <w:p w:rsidR="00000000" w:rsidDel="00000000" w:rsidP="00000000" w:rsidRDefault="00000000" w:rsidRPr="00000000" w14:paraId="0000001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Atazanavir/Cobicistat (Evotaz)</w:t>
      </w:r>
    </w:p>
    <w:p w:rsidR="00000000" w:rsidDel="00000000" w:rsidP="00000000" w:rsidRDefault="00000000" w:rsidRPr="00000000" w14:paraId="0000001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Darunavir/Cobicistat (Prezcobix)</w:t>
      </w:r>
    </w:p>
    <w:p w:rsidR="00000000" w:rsidDel="00000000" w:rsidP="00000000" w:rsidRDefault="00000000" w:rsidRPr="00000000" w14:paraId="0000001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Darunavir/Cobicistat/Emtricitabine/Ténofovir alafénamide (Symtuza)</w:t>
      </w:r>
    </w:p>
    <w:p w:rsidR="00000000" w:rsidDel="00000000" w:rsidP="00000000" w:rsidRDefault="00000000" w:rsidRPr="00000000" w14:paraId="0000001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sz w:val="22"/>
          <w:szCs w:val="22"/>
          <w:rtl w:val="0"/>
        </w:rPr>
        <w:t xml:space="preserve">E</w:t>
      </w: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lvitégravir/Cobicistat/Emtricitabine/Ténofovir (Stribild, Genvoya)</w:t>
      </w:r>
    </w:p>
    <w:p w:rsidR="00000000" w:rsidDel="00000000" w:rsidP="00000000" w:rsidRDefault="00000000" w:rsidRPr="00000000" w14:paraId="00000015">
      <w:pPr>
        <w:ind w:left="360"/>
        <w:contextualSpacing w:val="0"/>
        <w:jc w:val="both"/>
        <w:rPr>
          <w:rFonts w:ascii="Century Gothic" w:cs="Century Gothic" w:eastAsia="Century Gothic" w:hAnsi="Century Gothic"/>
          <w:i w:val="1"/>
          <w:sz w:val="22"/>
          <w:szCs w:val="22"/>
        </w:rPr>
      </w:pPr>
      <w:r w:rsidDel="00000000" w:rsidR="00000000" w:rsidRPr="00000000">
        <w:rPr>
          <w:rFonts w:ascii="Century Gothic" w:cs="Century Gothic" w:eastAsia="Century Gothic" w:hAnsi="Century Gothic"/>
          <w:i w:val="1"/>
          <w:sz w:val="22"/>
          <w:szCs w:val="22"/>
          <w:rtl w:val="0"/>
        </w:rPr>
        <w:t xml:space="preserve">Ritonavir</w:t>
      </w:r>
    </w:p>
    <w:p w:rsidR="00000000" w:rsidDel="00000000" w:rsidP="00000000" w:rsidRDefault="00000000" w:rsidRPr="00000000" w14:paraId="0000001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Atazanavir/Ritonavir (Reyataz/Norvir)</w:t>
      </w:r>
    </w:p>
    <w:p w:rsidR="00000000" w:rsidDel="00000000" w:rsidP="00000000" w:rsidRDefault="00000000" w:rsidRPr="00000000" w14:paraId="0000001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Darunavir/Ritonavir (Prezista/Norvir)</w:t>
      </w:r>
    </w:p>
    <w:p w:rsidR="00000000" w:rsidDel="00000000" w:rsidP="00000000" w:rsidRDefault="00000000" w:rsidRPr="00000000" w14:paraId="0000001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Lopinavir/Ritonavir (Kaletra)</w:t>
      </w:r>
    </w:p>
    <w:p w:rsidR="00000000" w:rsidDel="00000000" w:rsidP="00000000" w:rsidRDefault="00000000" w:rsidRPr="00000000" w14:paraId="00000019">
      <w:pPr>
        <w:contextualSpacing w:val="0"/>
        <w:jc w:val="both"/>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1A">
      <w:pPr>
        <w:contextualSpacing w:val="0"/>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Une augmentation du risque de toxicité des antagonistes des récepteurs adrénergiques alpha-1 sélectifs ou non peut survenir lors de l’administration concomitante avec un antirétroviral ci-haut. Voici pourquoi</w:t>
      </w:r>
      <w:r w:rsidDel="00000000" w:rsidR="00000000" w:rsidRPr="00000000">
        <w:rPr>
          <w:rFonts w:ascii="Century Gothic" w:cs="Century Gothic" w:eastAsia="Century Gothic" w:hAnsi="Century Gothic"/>
          <w:sz w:val="22"/>
          <w:szCs w:val="22"/>
          <w:vertAlign w:val="superscript"/>
          <w:rtl w:val="0"/>
        </w:rPr>
        <w:t xml:space="preserve">1</w:t>
      </w:r>
      <w:r w:rsidDel="00000000" w:rsidR="00000000" w:rsidRPr="00000000">
        <w:rPr>
          <w:rFonts w:ascii="Century Gothic" w:cs="Century Gothic" w:eastAsia="Century Gothic" w:hAnsi="Century Gothic"/>
          <w:sz w:val="22"/>
          <w:szCs w:val="22"/>
          <w:vertAlign w:val="superscript"/>
          <w:rtl w:val="0"/>
        </w:rPr>
        <w:t xml:space="preserve">, 4, 6,</w:t>
      </w:r>
      <w:r w:rsidDel="00000000" w:rsidR="00000000" w:rsidRPr="00000000">
        <w:rPr>
          <w:rFonts w:ascii="Century Gothic" w:cs="Century Gothic" w:eastAsia="Century Gothic" w:hAnsi="Century Gothic"/>
          <w:sz w:val="22"/>
          <w:szCs w:val="22"/>
          <w:vertAlign w:val="superscript"/>
          <w:rtl w:val="0"/>
        </w:rPr>
        <w:t xml:space="preserve"> 10</w:t>
      </w:r>
      <w:r w:rsidDel="00000000" w:rsidR="00000000" w:rsidRPr="00000000">
        <w:rPr>
          <w:rFonts w:ascii="Century Gothic" w:cs="Century Gothic" w:eastAsia="Century Gothic" w:hAnsi="Century Gothic"/>
          <w:sz w:val="22"/>
          <w:szCs w:val="22"/>
          <w:vertAlign w:val="superscript"/>
          <w:rtl w:val="0"/>
        </w:rPr>
        <w:t xml:space="preserve">, 11 </w:t>
      </w:r>
      <w:r w:rsidDel="00000000" w:rsidR="00000000" w:rsidRPr="00000000">
        <w:rPr>
          <w:rFonts w:ascii="Century Gothic" w:cs="Century Gothic" w:eastAsia="Century Gothic" w:hAnsi="Century Gothic"/>
          <w:sz w:val="22"/>
          <w:szCs w:val="22"/>
          <w:rtl w:val="0"/>
        </w:rPr>
        <w:t xml:space="preserve">:</w:t>
      </w:r>
    </w:p>
    <w:p w:rsidR="00000000" w:rsidDel="00000000" w:rsidP="00000000" w:rsidRDefault="00000000" w:rsidRPr="00000000" w14:paraId="0000001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Le cobicistat et le ritonavir sont des inhibiteurs des cytochromes (CYP) 3A4 et 2D6 et </w:t>
      </w:r>
      <w:r w:rsidDel="00000000" w:rsidR="00000000" w:rsidRPr="00000000">
        <w:rPr>
          <w:rFonts w:ascii="Century Gothic" w:cs="Century Gothic" w:eastAsia="Century Gothic" w:hAnsi="Century Gothic"/>
          <w:sz w:val="22"/>
          <w:szCs w:val="22"/>
          <w:rtl w:val="0"/>
        </w:rPr>
        <w:t xml:space="preserve">du transporteur P-glycoprotéine (P-gp).</w:t>
      </w: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C">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both"/>
        <w:rPr>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Les antagonistes des récepteurs adrénergiques alpha-1 sélectifs ou non sont des substrats du CYP 3A4, du 2D6 et de la P-gp. </w:t>
      </w:r>
    </w:p>
    <w:p w:rsidR="00000000" w:rsidDel="00000000" w:rsidP="00000000" w:rsidRDefault="00000000" w:rsidRPr="00000000" w14:paraId="0000001D">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both"/>
        <w:rPr>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Cette inhibition peut augmenter la concentration plasmatique des antagonistes des récepteurs adrénergiques alpha-1 sélectifs et le risque d’effets indésirables associés.</w:t>
      </w:r>
    </w:p>
    <w:p w:rsidR="00000000" w:rsidDel="00000000" w:rsidP="00000000" w:rsidRDefault="00000000" w:rsidRPr="00000000" w14:paraId="0000001E">
      <w:pPr>
        <w:widowControl w:val="0"/>
        <w:contextualSpacing w:val="0"/>
        <w:jc w:val="both"/>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1F">
      <w:pPr>
        <w:widowControl w:val="0"/>
        <w:contextualSpacing w:val="0"/>
        <w:jc w:val="both"/>
        <w:rPr>
          <w:rFonts w:ascii="Century Gothic" w:cs="Century Gothic" w:eastAsia="Century Gothic" w:hAnsi="Century Gothic"/>
          <w:b w:val="1"/>
          <w:sz w:val="22"/>
          <w:szCs w:val="22"/>
        </w:rPr>
      </w:pPr>
      <w:r w:rsidDel="00000000" w:rsidR="00000000" w:rsidRPr="00000000">
        <w:rPr>
          <w:rFonts w:ascii="Century Gothic" w:cs="Century Gothic" w:eastAsia="Century Gothic" w:hAnsi="Century Gothic"/>
          <w:b w:val="1"/>
          <w:sz w:val="22"/>
          <w:szCs w:val="22"/>
          <w:rtl w:val="0"/>
        </w:rPr>
        <w:t xml:space="preserve">Pour de plus amples informations, voici des études évaluant les interactions ci-haut :</w:t>
      </w:r>
      <w:r w:rsidDel="00000000" w:rsidR="00000000" w:rsidRPr="00000000">
        <w:rPr>
          <w:rtl w:val="0"/>
        </w:rPr>
      </w:r>
    </w:p>
    <w:p w:rsidR="00000000" w:rsidDel="00000000" w:rsidP="00000000" w:rsidRDefault="00000000" w:rsidRPr="00000000" w14:paraId="00000020">
      <w:pPr>
        <w:widowControl w:val="0"/>
        <w:contextualSpacing w:val="0"/>
        <w:jc w:val="both"/>
        <w:rPr>
          <w:rFonts w:ascii="Century Gothic" w:cs="Century Gothic" w:eastAsia="Century Gothic" w:hAnsi="Century Gothic"/>
          <w:i w:val="1"/>
          <w:sz w:val="22"/>
          <w:szCs w:val="22"/>
          <w:u w:val="single"/>
        </w:rPr>
      </w:pPr>
      <w:r w:rsidDel="00000000" w:rsidR="00000000" w:rsidRPr="00000000">
        <w:rPr>
          <w:rtl w:val="0"/>
        </w:rPr>
      </w:r>
    </w:p>
    <w:p w:rsidR="00000000" w:rsidDel="00000000" w:rsidP="00000000" w:rsidRDefault="00000000" w:rsidRPr="00000000" w14:paraId="00000021">
      <w:pPr>
        <w:widowControl w:val="0"/>
        <w:contextualSpacing w:val="0"/>
        <w:jc w:val="both"/>
        <w:rPr>
          <w:rFonts w:ascii="Century Gothic" w:cs="Century Gothic" w:eastAsia="Century Gothic" w:hAnsi="Century Gothic"/>
          <w:b w:val="1"/>
          <w:i w:val="1"/>
          <w:sz w:val="22"/>
          <w:szCs w:val="22"/>
        </w:rPr>
      </w:pPr>
      <w:r w:rsidDel="00000000" w:rsidR="00000000" w:rsidRPr="00000000">
        <w:rPr>
          <w:rFonts w:ascii="Century Gothic" w:cs="Century Gothic" w:eastAsia="Century Gothic" w:hAnsi="Century Gothic"/>
          <w:b w:val="1"/>
          <w:i w:val="1"/>
          <w:sz w:val="22"/>
          <w:szCs w:val="22"/>
          <w:rtl w:val="0"/>
        </w:rPr>
        <w:t xml:space="preserve">Alfuzosine (Xatral) :</w:t>
      </w:r>
    </w:p>
    <w:p w:rsidR="00000000" w:rsidDel="00000000" w:rsidP="00000000" w:rsidRDefault="00000000" w:rsidRPr="00000000" w14:paraId="00000022">
      <w:pPr>
        <w:widowControl w:val="0"/>
        <w:contextualSpacing w:val="0"/>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Selon une étude pharmacocinétique, la surface sous la courbe (SSC) de l’alfuzosine était environ 3 fois plus élevée lorsque ce dernier était combiné au kétoconazole, un inhibiteur puissant du CYP 3A4.</w:t>
      </w:r>
      <w:r w:rsidDel="00000000" w:rsidR="00000000" w:rsidRPr="00000000">
        <w:rPr>
          <w:rFonts w:ascii="Century Gothic" w:cs="Century Gothic" w:eastAsia="Century Gothic" w:hAnsi="Century Gothic"/>
          <w:sz w:val="22"/>
          <w:szCs w:val="22"/>
          <w:vertAlign w:val="superscript"/>
          <w:rtl w:val="0"/>
        </w:rPr>
        <w:t xml:space="preserve">1, 2, 11</w:t>
      </w:r>
      <w:r w:rsidDel="00000000" w:rsidR="00000000" w:rsidRPr="00000000">
        <w:rPr>
          <w:rFonts w:ascii="Century Gothic" w:cs="Century Gothic" w:eastAsia="Century Gothic" w:hAnsi="Century Gothic"/>
          <w:sz w:val="22"/>
          <w:szCs w:val="22"/>
          <w:rtl w:val="0"/>
        </w:rPr>
        <w:t xml:space="preserve"> </w:t>
      </w:r>
    </w:p>
    <w:p w:rsidR="00000000" w:rsidDel="00000000" w:rsidP="00000000" w:rsidRDefault="00000000" w:rsidRPr="00000000" w14:paraId="00000023">
      <w:pPr>
        <w:widowControl w:val="0"/>
        <w:contextualSpacing w:val="0"/>
        <w:jc w:val="both"/>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24">
      <w:pPr>
        <w:widowControl w:val="0"/>
        <w:contextualSpacing w:val="0"/>
        <w:jc w:val="both"/>
        <w:rPr>
          <w:rFonts w:ascii="Century Gothic" w:cs="Century Gothic" w:eastAsia="Century Gothic" w:hAnsi="Century Gothic"/>
          <w:i w:val="1"/>
          <w:sz w:val="22"/>
          <w:szCs w:val="22"/>
          <w:vertAlign w:val="superscript"/>
        </w:rPr>
      </w:pPr>
      <w:r w:rsidDel="00000000" w:rsidR="00000000" w:rsidRPr="00000000">
        <w:rPr>
          <w:rFonts w:ascii="Century Gothic" w:cs="Century Gothic" w:eastAsia="Century Gothic" w:hAnsi="Century Gothic"/>
          <w:sz w:val="22"/>
          <w:szCs w:val="22"/>
          <w:rtl w:val="0"/>
        </w:rPr>
        <w:t xml:space="preserve">La monographie de l’alfuzosine précise que l'association de ce produit avec un inhibiteur puissant du CYP 3A4 est </w:t>
      </w:r>
      <w:r w:rsidDel="00000000" w:rsidR="00000000" w:rsidRPr="00000000">
        <w:rPr>
          <w:rFonts w:ascii="Century Gothic" w:cs="Century Gothic" w:eastAsia="Century Gothic" w:hAnsi="Century Gothic"/>
          <w:b w:val="1"/>
          <w:sz w:val="22"/>
          <w:szCs w:val="22"/>
          <w:rtl w:val="0"/>
        </w:rPr>
        <w:t xml:space="preserve">contre-indiquée (CI)</w:t>
      </w:r>
      <w:r w:rsidDel="00000000" w:rsidR="00000000" w:rsidRPr="00000000">
        <w:rPr>
          <w:rFonts w:ascii="Century Gothic" w:cs="Century Gothic" w:eastAsia="Century Gothic" w:hAnsi="Century Gothic"/>
          <w:sz w:val="22"/>
          <w:szCs w:val="22"/>
          <w:rtl w:val="0"/>
        </w:rPr>
        <w:t xml:space="preserve">.</w:t>
      </w:r>
      <w:r w:rsidDel="00000000" w:rsidR="00000000" w:rsidRPr="00000000">
        <w:rPr>
          <w:rFonts w:ascii="Century Gothic" w:cs="Century Gothic" w:eastAsia="Century Gothic" w:hAnsi="Century Gothic"/>
          <w:sz w:val="22"/>
          <w:szCs w:val="22"/>
          <w:vertAlign w:val="superscript"/>
          <w:rtl w:val="0"/>
        </w:rPr>
        <w:t xml:space="preserve">1, 11</w:t>
      </w:r>
      <w:r w:rsidDel="00000000" w:rsidR="00000000" w:rsidRPr="00000000">
        <w:rPr>
          <w:rtl w:val="0"/>
        </w:rPr>
      </w:r>
    </w:p>
    <w:p w:rsidR="00000000" w:rsidDel="00000000" w:rsidP="00000000" w:rsidRDefault="00000000" w:rsidRPr="00000000" w14:paraId="00000025">
      <w:pPr>
        <w:widowControl w:val="0"/>
        <w:contextualSpacing w:val="0"/>
        <w:jc w:val="both"/>
        <w:rPr>
          <w:rFonts w:ascii="Century Gothic" w:cs="Century Gothic" w:eastAsia="Century Gothic" w:hAnsi="Century Gothic"/>
          <w:b w:val="1"/>
          <w:i w:val="1"/>
          <w:sz w:val="22"/>
          <w:szCs w:val="22"/>
        </w:rPr>
      </w:pPr>
      <w:r w:rsidDel="00000000" w:rsidR="00000000" w:rsidRPr="00000000">
        <w:rPr>
          <w:rFonts w:ascii="Century Gothic" w:cs="Century Gothic" w:eastAsia="Century Gothic" w:hAnsi="Century Gothic"/>
          <w:b w:val="1"/>
          <w:i w:val="1"/>
          <w:sz w:val="22"/>
          <w:szCs w:val="22"/>
          <w:rtl w:val="0"/>
        </w:rPr>
        <w:t xml:space="preserve">Doxazosine (Cardura) : </w:t>
      </w:r>
    </w:p>
    <w:p w:rsidR="00000000" w:rsidDel="00000000" w:rsidP="00000000" w:rsidRDefault="00000000" w:rsidRPr="00000000" w14:paraId="00000026">
      <w:pPr>
        <w:contextualSpacing w:val="0"/>
        <w:jc w:val="both"/>
        <w:rPr>
          <w:rFonts w:ascii="Century Gothic" w:cs="Century Gothic" w:eastAsia="Century Gothic" w:hAnsi="Century Gothic"/>
          <w:color w:val="000000"/>
          <w:sz w:val="22"/>
          <w:szCs w:val="22"/>
        </w:rPr>
      </w:pPr>
      <w:r w:rsidDel="00000000" w:rsidR="00000000" w:rsidRPr="00000000">
        <w:rPr>
          <w:rFonts w:ascii="Century Gothic" w:cs="Century Gothic" w:eastAsia="Century Gothic" w:hAnsi="Century Gothic"/>
          <w:color w:val="000000"/>
          <w:sz w:val="22"/>
          <w:szCs w:val="22"/>
          <w:rtl w:val="0"/>
        </w:rPr>
        <w:t xml:space="preserve">Il y a peu de littérature concernant le doxazosine et ses interactions. Cependant, un rapport de cas de priapisme a été rapporté avec la combinaison  bocéprévir (inhibiteur du CYP 3A4) et la doxazosine.</w:t>
      </w:r>
      <w:r w:rsidDel="00000000" w:rsidR="00000000" w:rsidRPr="00000000">
        <w:rPr>
          <w:rFonts w:ascii="Century Gothic" w:cs="Century Gothic" w:eastAsia="Century Gothic" w:hAnsi="Century Gothic"/>
          <w:sz w:val="22"/>
          <w:szCs w:val="22"/>
          <w:vertAlign w:val="superscript"/>
          <w:rtl w:val="0"/>
        </w:rPr>
        <w:t xml:space="preserve">3</w:t>
      </w:r>
      <w:r w:rsidDel="00000000" w:rsidR="00000000" w:rsidRPr="00000000">
        <w:rPr>
          <w:rFonts w:ascii="Century Gothic" w:cs="Century Gothic" w:eastAsia="Century Gothic" w:hAnsi="Century Gothic"/>
          <w:color w:val="000000"/>
          <w:sz w:val="22"/>
          <w:szCs w:val="22"/>
          <w:vertAlign w:val="superscript"/>
          <w:rtl w:val="0"/>
        </w:rPr>
        <w:t xml:space="preserve">, 1</w:t>
      </w:r>
      <w:r w:rsidDel="00000000" w:rsidR="00000000" w:rsidRPr="00000000">
        <w:rPr>
          <w:rFonts w:ascii="Century Gothic" w:cs="Century Gothic" w:eastAsia="Century Gothic" w:hAnsi="Century Gothic"/>
          <w:sz w:val="22"/>
          <w:szCs w:val="22"/>
          <w:vertAlign w:val="superscript"/>
          <w:rtl w:val="0"/>
        </w:rPr>
        <w:t xml:space="preserve">1</w:t>
      </w:r>
      <w:r w:rsidDel="00000000" w:rsidR="00000000" w:rsidRPr="00000000">
        <w:rPr>
          <w:rFonts w:ascii="Century Gothic" w:cs="Century Gothic" w:eastAsia="Century Gothic" w:hAnsi="Century Gothic"/>
          <w:color w:val="000000"/>
          <w:sz w:val="22"/>
          <w:szCs w:val="22"/>
          <w:rtl w:val="0"/>
        </w:rPr>
        <w:t xml:space="preserve"> </w:t>
      </w:r>
    </w:p>
    <w:p w:rsidR="00000000" w:rsidDel="00000000" w:rsidP="00000000" w:rsidRDefault="00000000" w:rsidRPr="00000000" w14:paraId="00000027">
      <w:pPr>
        <w:contextualSpacing w:val="0"/>
        <w:jc w:val="both"/>
        <w:rPr>
          <w:rFonts w:ascii="Century Gothic" w:cs="Century Gothic" w:eastAsia="Century Gothic" w:hAnsi="Century Gothic"/>
          <w:color w:val="000000"/>
          <w:sz w:val="22"/>
          <w:szCs w:val="22"/>
        </w:rPr>
      </w:pPr>
      <w:r w:rsidDel="00000000" w:rsidR="00000000" w:rsidRPr="00000000">
        <w:rPr>
          <w:rtl w:val="0"/>
        </w:rPr>
      </w:r>
    </w:p>
    <w:p w:rsidR="00000000" w:rsidDel="00000000" w:rsidP="00000000" w:rsidRDefault="00000000" w:rsidRPr="00000000" w14:paraId="00000028">
      <w:pPr>
        <w:contextualSpacing w:val="0"/>
        <w:jc w:val="both"/>
        <w:rPr>
          <w:rFonts w:ascii="Century Gothic" w:cs="Century Gothic" w:eastAsia="Century Gothic" w:hAnsi="Century Gothic"/>
          <w:color w:val="000000"/>
          <w:sz w:val="22"/>
          <w:szCs w:val="22"/>
          <w:vertAlign w:val="superscript"/>
        </w:rPr>
      </w:pPr>
      <w:r w:rsidDel="00000000" w:rsidR="00000000" w:rsidRPr="00000000">
        <w:rPr>
          <w:rFonts w:ascii="Century Gothic" w:cs="Century Gothic" w:eastAsia="Century Gothic" w:hAnsi="Century Gothic"/>
          <w:color w:val="000000"/>
          <w:sz w:val="22"/>
          <w:szCs w:val="22"/>
          <w:rtl w:val="0"/>
        </w:rPr>
        <w:t xml:space="preserve">Puisque ce produit se donne à dose variable (1 à 16 mg), il serait préférable de commencer avec une faible dose et d’ajuster selon tolérance et efficacité lorsqu’il est prescrit en présence d’un puissant inhibiteur du CYP 3A4.</w:t>
      </w:r>
      <w:r w:rsidDel="00000000" w:rsidR="00000000" w:rsidRPr="00000000">
        <w:rPr>
          <w:rFonts w:ascii="Century Gothic" w:cs="Century Gothic" w:eastAsia="Century Gothic" w:hAnsi="Century Gothic"/>
          <w:color w:val="000000"/>
          <w:sz w:val="22"/>
          <w:szCs w:val="22"/>
          <w:vertAlign w:val="superscript"/>
          <w:rtl w:val="0"/>
        </w:rPr>
        <w:t xml:space="preserve">1</w:t>
      </w:r>
      <w:r w:rsidDel="00000000" w:rsidR="00000000" w:rsidRPr="00000000">
        <w:rPr>
          <w:rFonts w:ascii="Century Gothic" w:cs="Century Gothic" w:eastAsia="Century Gothic" w:hAnsi="Century Gothic"/>
          <w:sz w:val="22"/>
          <w:szCs w:val="22"/>
          <w:vertAlign w:val="superscript"/>
          <w:rtl w:val="0"/>
        </w:rPr>
        <w:t xml:space="preserve">1</w:t>
      </w:r>
      <w:r w:rsidDel="00000000" w:rsidR="00000000" w:rsidRPr="00000000">
        <w:rPr>
          <w:rtl w:val="0"/>
        </w:rPr>
      </w:r>
    </w:p>
    <w:p w:rsidR="00000000" w:rsidDel="00000000" w:rsidP="00000000" w:rsidRDefault="00000000" w:rsidRPr="00000000" w14:paraId="00000029">
      <w:pPr>
        <w:contextualSpacing w:val="0"/>
        <w:jc w:val="both"/>
        <w:rPr>
          <w:rFonts w:ascii="Century Gothic" w:cs="Century Gothic" w:eastAsia="Century Gothic" w:hAnsi="Century Gothic"/>
          <w:b w:val="1"/>
          <w:color w:val="000000"/>
          <w:sz w:val="22"/>
          <w:szCs w:val="22"/>
        </w:rPr>
      </w:pPr>
      <w:r w:rsidDel="00000000" w:rsidR="00000000" w:rsidRPr="00000000">
        <w:rPr>
          <w:rtl w:val="0"/>
        </w:rPr>
      </w:r>
    </w:p>
    <w:p w:rsidR="00000000" w:rsidDel="00000000" w:rsidP="00000000" w:rsidRDefault="00000000" w:rsidRPr="00000000" w14:paraId="0000002A">
      <w:pPr>
        <w:contextualSpacing w:val="0"/>
        <w:jc w:val="both"/>
        <w:rPr>
          <w:rFonts w:ascii="Century Gothic" w:cs="Century Gothic" w:eastAsia="Century Gothic" w:hAnsi="Century Gothic"/>
          <w:i w:val="1"/>
          <w:color w:val="000000"/>
          <w:sz w:val="22"/>
          <w:szCs w:val="22"/>
          <w:u w:val="single"/>
        </w:rPr>
      </w:pPr>
      <w:r w:rsidDel="00000000" w:rsidR="00000000" w:rsidRPr="00000000">
        <w:rPr>
          <w:rFonts w:ascii="Century Gothic" w:cs="Century Gothic" w:eastAsia="Century Gothic" w:hAnsi="Century Gothic"/>
          <w:b w:val="1"/>
          <w:i w:val="1"/>
          <w:color w:val="000000"/>
          <w:sz w:val="22"/>
          <w:szCs w:val="22"/>
          <w:rtl w:val="0"/>
        </w:rPr>
        <w:t xml:space="preserve">Silodosine (Rapaflo)</w:t>
      </w:r>
      <w:r w:rsidDel="00000000" w:rsidR="00000000" w:rsidRPr="00000000">
        <w:rPr>
          <w:rFonts w:ascii="Century Gothic" w:cs="Century Gothic" w:eastAsia="Century Gothic" w:hAnsi="Century Gothic"/>
          <w:i w:val="1"/>
          <w:color w:val="000000"/>
          <w:sz w:val="22"/>
          <w:szCs w:val="22"/>
          <w:rtl w:val="0"/>
        </w:rPr>
        <w:t xml:space="preserve"> :</w:t>
      </w:r>
      <w:r w:rsidDel="00000000" w:rsidR="00000000" w:rsidRPr="00000000">
        <w:rPr>
          <w:rFonts w:ascii="Century Gothic" w:cs="Century Gothic" w:eastAsia="Century Gothic" w:hAnsi="Century Gothic"/>
          <w:i w:val="1"/>
          <w:color w:val="000000"/>
          <w:sz w:val="22"/>
          <w:szCs w:val="22"/>
          <w:u w:val="single"/>
          <w:rtl w:val="0"/>
        </w:rPr>
        <w:t xml:space="preserve"> </w:t>
      </w:r>
    </w:p>
    <w:p w:rsidR="00000000" w:rsidDel="00000000" w:rsidP="00000000" w:rsidRDefault="00000000" w:rsidRPr="00000000" w14:paraId="0000002B">
      <w:pPr>
        <w:widowControl w:val="0"/>
        <w:contextualSpacing w:val="0"/>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Kétoconazole (inhibiteur CYP 3A4 </w:t>
      </w:r>
      <w:r w:rsidDel="00000000" w:rsidR="00000000" w:rsidRPr="00000000">
        <w:rPr>
          <w:rFonts w:ascii="Century Gothic" w:cs="Century Gothic" w:eastAsia="Century Gothic" w:hAnsi="Century Gothic"/>
          <w:sz w:val="22"/>
          <w:szCs w:val="22"/>
          <w:rtl w:val="0"/>
        </w:rPr>
        <w:t xml:space="preserve">et P-gp</w:t>
      </w:r>
      <w:r w:rsidDel="00000000" w:rsidR="00000000" w:rsidRPr="00000000">
        <w:rPr>
          <w:rFonts w:ascii="Century Gothic" w:cs="Century Gothic" w:eastAsia="Century Gothic" w:hAnsi="Century Gothic"/>
          <w:sz w:val="22"/>
          <w:szCs w:val="22"/>
          <w:rtl w:val="0"/>
        </w:rPr>
        <w:t xml:space="preserve">) : ↑</w:t>
      </w:r>
      <w:r w:rsidDel="00000000" w:rsidR="00000000" w:rsidRPr="00000000">
        <w:rPr>
          <w:rFonts w:ascii="Century Gothic" w:cs="Century Gothic" w:eastAsia="Century Gothic" w:hAnsi="Century Gothic"/>
          <w:sz w:val="22"/>
          <w:szCs w:val="22"/>
          <w:rtl w:val="0"/>
        </w:rPr>
        <w:t xml:space="preserve"> d’environ 3 fois la</w:t>
      </w:r>
      <w:r w:rsidDel="00000000" w:rsidR="00000000" w:rsidRPr="00000000">
        <w:rPr>
          <w:rFonts w:ascii="Century Gothic" w:cs="Century Gothic" w:eastAsia="Century Gothic" w:hAnsi="Century Gothic"/>
          <w:sz w:val="22"/>
          <w:szCs w:val="22"/>
          <w:rtl w:val="0"/>
        </w:rPr>
        <w:t xml:space="preserve"> SSC de la silodosine.</w:t>
      </w:r>
      <w:r w:rsidDel="00000000" w:rsidR="00000000" w:rsidRPr="00000000">
        <w:rPr>
          <w:rFonts w:ascii="Century Gothic" w:cs="Century Gothic" w:eastAsia="Century Gothic" w:hAnsi="Century Gothic"/>
          <w:sz w:val="22"/>
          <w:szCs w:val="22"/>
          <w:vertAlign w:val="superscript"/>
          <w:rtl w:val="0"/>
        </w:rPr>
        <w:t xml:space="preserve">4, </w:t>
      </w:r>
      <w:r w:rsidDel="00000000" w:rsidR="00000000" w:rsidRPr="00000000">
        <w:rPr>
          <w:rFonts w:ascii="Century Gothic" w:cs="Century Gothic" w:eastAsia="Century Gothic" w:hAnsi="Century Gothic"/>
          <w:sz w:val="22"/>
          <w:szCs w:val="22"/>
          <w:vertAlign w:val="superscript"/>
          <w:rtl w:val="0"/>
        </w:rPr>
        <w:t xml:space="preserve">5</w:t>
      </w:r>
      <w:r w:rsidDel="00000000" w:rsidR="00000000" w:rsidRPr="00000000">
        <w:rPr>
          <w:rFonts w:ascii="Century Gothic" w:cs="Century Gothic" w:eastAsia="Century Gothic" w:hAnsi="Century Gothic"/>
          <w:sz w:val="22"/>
          <w:szCs w:val="22"/>
          <w:vertAlign w:val="superscript"/>
          <w:rtl w:val="0"/>
        </w:rPr>
        <w:t xml:space="preserve">, 11</w:t>
      </w:r>
      <w:r w:rsidDel="00000000" w:rsidR="00000000" w:rsidRPr="00000000">
        <w:rPr>
          <w:rtl w:val="0"/>
        </w:rPr>
      </w:r>
    </w:p>
    <w:p w:rsidR="00000000" w:rsidDel="00000000" w:rsidP="00000000" w:rsidRDefault="00000000" w:rsidRPr="00000000" w14:paraId="0000002C">
      <w:pPr>
        <w:widowControl w:val="0"/>
        <w:contextualSpacing w:val="0"/>
        <w:jc w:val="both"/>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2D">
      <w:pPr>
        <w:widowControl w:val="0"/>
        <w:contextualSpacing w:val="0"/>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La monographie de la silodosine recommande d’éviter les puissants inhibiteurs du CYP 3A4 ou de la P-gp.</w:t>
      </w:r>
      <w:r w:rsidDel="00000000" w:rsidR="00000000" w:rsidRPr="00000000">
        <w:rPr>
          <w:rFonts w:ascii="Century Gothic" w:cs="Century Gothic" w:eastAsia="Century Gothic" w:hAnsi="Century Gothic"/>
          <w:sz w:val="22"/>
          <w:szCs w:val="22"/>
          <w:vertAlign w:val="superscript"/>
          <w:rtl w:val="0"/>
        </w:rPr>
        <w:t xml:space="preserve">4, 11</w:t>
      </w:r>
      <w:r w:rsidDel="00000000" w:rsidR="00000000" w:rsidRPr="00000000">
        <w:rPr>
          <w:rFonts w:ascii="Century Gothic" w:cs="Century Gothic" w:eastAsia="Century Gothic" w:hAnsi="Century Gothic"/>
          <w:sz w:val="22"/>
          <w:szCs w:val="22"/>
          <w:rtl w:val="0"/>
        </w:rPr>
        <w:t xml:space="preserve"> </w:t>
      </w:r>
    </w:p>
    <w:p w:rsidR="00000000" w:rsidDel="00000000" w:rsidP="00000000" w:rsidRDefault="00000000" w:rsidRPr="00000000" w14:paraId="0000002E">
      <w:pPr>
        <w:contextualSpacing w:val="0"/>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2F">
      <w:pPr>
        <w:widowControl w:val="0"/>
        <w:contextualSpacing w:val="0"/>
        <w:jc w:val="both"/>
        <w:rPr>
          <w:rFonts w:ascii="Century Gothic" w:cs="Century Gothic" w:eastAsia="Century Gothic" w:hAnsi="Century Gothic"/>
          <w:i w:val="1"/>
          <w:sz w:val="22"/>
          <w:szCs w:val="22"/>
          <w:u w:val="single"/>
        </w:rPr>
      </w:pPr>
      <w:r w:rsidDel="00000000" w:rsidR="00000000" w:rsidRPr="00000000">
        <w:rPr>
          <w:rFonts w:ascii="Century Gothic" w:cs="Century Gothic" w:eastAsia="Century Gothic" w:hAnsi="Century Gothic"/>
          <w:b w:val="1"/>
          <w:i w:val="1"/>
          <w:sz w:val="22"/>
          <w:szCs w:val="22"/>
          <w:rtl w:val="0"/>
        </w:rPr>
        <w:t xml:space="preserve">Tamsulosine (Flomax CR) </w:t>
      </w:r>
      <w:r w:rsidDel="00000000" w:rsidR="00000000" w:rsidRPr="00000000">
        <w:rPr>
          <w:rFonts w:ascii="Century Gothic" w:cs="Century Gothic" w:eastAsia="Century Gothic" w:hAnsi="Century Gothic"/>
          <w:i w:val="1"/>
          <w:sz w:val="22"/>
          <w:szCs w:val="22"/>
          <w:rtl w:val="0"/>
        </w:rPr>
        <w:t xml:space="preserve">:</w:t>
      </w:r>
      <w:r w:rsidDel="00000000" w:rsidR="00000000" w:rsidRPr="00000000">
        <w:rPr>
          <w:rFonts w:ascii="Century Gothic" w:cs="Century Gothic" w:eastAsia="Century Gothic" w:hAnsi="Century Gothic"/>
          <w:i w:val="1"/>
          <w:sz w:val="22"/>
          <w:szCs w:val="22"/>
          <w:u w:val="single"/>
          <w:rtl w:val="0"/>
        </w:rPr>
        <w:t xml:space="preserve"> </w:t>
      </w:r>
    </w:p>
    <w:p w:rsidR="00000000" w:rsidDel="00000000" w:rsidP="00000000" w:rsidRDefault="00000000" w:rsidRPr="00000000" w14:paraId="00000030">
      <w:pPr>
        <w:widowControl w:val="0"/>
        <w:contextualSpacing w:val="0"/>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Selon une étude pharmacocinétique, la SSC de l’alfuzosine était 2,8 fois plus élevée lorsque ce dernier était combiné au kétoconazole, un inhibiteur puissant du CYP 3A4 et 1,6 fois plus élevée lorsque l’alfuzosine était combiné à la paroxétine, un inhibiteur puissant du CYP 2D6.</w:t>
      </w:r>
      <w:r w:rsidDel="00000000" w:rsidR="00000000" w:rsidRPr="00000000">
        <w:rPr>
          <w:rFonts w:ascii="Century Gothic" w:cs="Century Gothic" w:eastAsia="Century Gothic" w:hAnsi="Century Gothic"/>
          <w:sz w:val="22"/>
          <w:szCs w:val="22"/>
          <w:vertAlign w:val="superscript"/>
          <w:rtl w:val="0"/>
        </w:rPr>
        <w:t xml:space="preserve">6, 7, 11</w:t>
      </w:r>
      <w:r w:rsidDel="00000000" w:rsidR="00000000" w:rsidRPr="00000000">
        <w:rPr>
          <w:rtl w:val="0"/>
        </w:rPr>
      </w:r>
    </w:p>
    <w:p w:rsidR="00000000" w:rsidDel="00000000" w:rsidP="00000000" w:rsidRDefault="00000000" w:rsidRPr="00000000" w14:paraId="00000031">
      <w:pPr>
        <w:widowControl w:val="0"/>
        <w:contextualSpacing w:val="0"/>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Une augmentation encore plus marquée de la SSC pourrait être observée lorsque l’alfuzosine est combiné au ritonavir, un inhibiteur des CYP 3A4 et 2D6.</w:t>
      </w:r>
      <w:r w:rsidDel="00000000" w:rsidR="00000000" w:rsidRPr="00000000">
        <w:rPr>
          <w:rFonts w:ascii="Century Gothic" w:cs="Century Gothic" w:eastAsia="Century Gothic" w:hAnsi="Century Gothic"/>
          <w:sz w:val="22"/>
          <w:szCs w:val="22"/>
          <w:vertAlign w:val="superscript"/>
          <w:rtl w:val="0"/>
        </w:rPr>
        <w:t xml:space="preserve">6, 7, 11</w:t>
      </w:r>
      <w:r w:rsidDel="00000000" w:rsidR="00000000" w:rsidRPr="00000000">
        <w:rPr>
          <w:rtl w:val="0"/>
        </w:rPr>
      </w:r>
    </w:p>
    <w:p w:rsidR="00000000" w:rsidDel="00000000" w:rsidP="00000000" w:rsidRDefault="00000000" w:rsidRPr="00000000" w14:paraId="00000032">
      <w:pPr>
        <w:widowControl w:val="0"/>
        <w:contextualSpacing w:val="0"/>
        <w:jc w:val="both"/>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33">
      <w:pPr>
        <w:widowControl w:val="0"/>
        <w:contextualSpacing w:val="0"/>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De surcroît, un cas de priapisme a été rapporté avec la combinaison de bocéprévir/tamsulosine </w:t>
      </w:r>
      <w:r w:rsidDel="00000000" w:rsidR="00000000" w:rsidRPr="00000000">
        <w:rPr>
          <w:rFonts w:ascii="Century Gothic" w:cs="Century Gothic" w:eastAsia="Century Gothic" w:hAnsi="Century Gothic"/>
          <w:sz w:val="22"/>
          <w:szCs w:val="22"/>
          <w:rtl w:val="0"/>
        </w:rPr>
        <w:t xml:space="preserve">et un rapport de cas d’éjaculation rétrograde sous combinaison de ritonavir/tamsulosine a  également été publié</w:t>
      </w:r>
      <w:r w:rsidDel="00000000" w:rsidR="00000000" w:rsidRPr="00000000">
        <w:rPr>
          <w:rFonts w:ascii="Century Gothic" w:cs="Century Gothic" w:eastAsia="Century Gothic" w:hAnsi="Century Gothic"/>
          <w:sz w:val="22"/>
          <w:szCs w:val="22"/>
          <w:rtl w:val="0"/>
        </w:rPr>
        <w:t xml:space="preserve">.</w:t>
      </w:r>
      <w:r w:rsidDel="00000000" w:rsidR="00000000" w:rsidRPr="00000000">
        <w:rPr>
          <w:rFonts w:ascii="Century Gothic" w:cs="Century Gothic" w:eastAsia="Century Gothic" w:hAnsi="Century Gothic"/>
          <w:sz w:val="22"/>
          <w:szCs w:val="22"/>
          <w:vertAlign w:val="superscript"/>
          <w:rtl w:val="0"/>
        </w:rPr>
        <w:t xml:space="preserve">3, </w:t>
      </w:r>
      <w:r w:rsidDel="00000000" w:rsidR="00000000" w:rsidRPr="00000000">
        <w:rPr>
          <w:rFonts w:ascii="Century Gothic" w:cs="Century Gothic" w:eastAsia="Century Gothic" w:hAnsi="Century Gothic"/>
          <w:sz w:val="22"/>
          <w:szCs w:val="22"/>
          <w:vertAlign w:val="superscript"/>
          <w:rtl w:val="0"/>
        </w:rPr>
        <w:t xml:space="preserve">8</w:t>
      </w:r>
      <w:r w:rsidDel="00000000" w:rsidR="00000000" w:rsidRPr="00000000">
        <w:rPr>
          <w:rFonts w:ascii="Century Gothic" w:cs="Century Gothic" w:eastAsia="Century Gothic" w:hAnsi="Century Gothic"/>
          <w:sz w:val="22"/>
          <w:szCs w:val="22"/>
          <w:vertAlign w:val="superscript"/>
          <w:rtl w:val="0"/>
        </w:rPr>
        <w:t xml:space="preserve">, 11</w:t>
      </w:r>
      <w:r w:rsidDel="00000000" w:rsidR="00000000" w:rsidRPr="00000000">
        <w:rPr>
          <w:rtl w:val="0"/>
        </w:rPr>
      </w:r>
    </w:p>
    <w:p w:rsidR="00000000" w:rsidDel="00000000" w:rsidP="00000000" w:rsidRDefault="00000000" w:rsidRPr="00000000" w14:paraId="00000034">
      <w:pPr>
        <w:widowControl w:val="0"/>
        <w:contextualSpacing w:val="0"/>
        <w:jc w:val="both"/>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35">
      <w:pPr>
        <w:widowControl w:val="0"/>
        <w:contextualSpacing w:val="0"/>
        <w:jc w:val="both"/>
        <w:rPr>
          <w:rFonts w:ascii="Century Gothic" w:cs="Century Gothic" w:eastAsia="Century Gothic" w:hAnsi="Century Gothic"/>
          <w:sz w:val="22"/>
          <w:szCs w:val="22"/>
          <w:vertAlign w:val="superscript"/>
        </w:rPr>
      </w:pPr>
      <w:r w:rsidDel="00000000" w:rsidR="00000000" w:rsidRPr="00000000">
        <w:rPr>
          <w:rFonts w:ascii="Century Gothic" w:cs="Century Gothic" w:eastAsia="Century Gothic" w:hAnsi="Century Gothic"/>
          <w:sz w:val="22"/>
          <w:szCs w:val="22"/>
          <w:rtl w:val="0"/>
        </w:rPr>
        <w:t xml:space="preserve">La monographie de tamsulosine précise d’éviter les puissants inhibiteurs du CYP 3A4.</w:t>
      </w:r>
      <w:r w:rsidDel="00000000" w:rsidR="00000000" w:rsidRPr="00000000">
        <w:rPr>
          <w:rFonts w:ascii="Century Gothic" w:cs="Century Gothic" w:eastAsia="Century Gothic" w:hAnsi="Century Gothic"/>
          <w:sz w:val="22"/>
          <w:szCs w:val="22"/>
          <w:vertAlign w:val="superscript"/>
          <w:rtl w:val="0"/>
        </w:rPr>
        <w:t xml:space="preserve">6, 11</w:t>
      </w:r>
    </w:p>
    <w:p w:rsidR="00000000" w:rsidDel="00000000" w:rsidP="00000000" w:rsidRDefault="00000000" w:rsidRPr="00000000" w14:paraId="00000036">
      <w:pPr>
        <w:widowControl w:val="0"/>
        <w:contextualSpacing w:val="0"/>
        <w:jc w:val="both"/>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37">
      <w:pPr>
        <w:widowControl w:val="0"/>
        <w:contextualSpacing w:val="0"/>
        <w:jc w:val="both"/>
        <w:rPr>
          <w:rFonts w:ascii="Century Gothic" w:cs="Century Gothic" w:eastAsia="Century Gothic" w:hAnsi="Century Gothic"/>
          <w:b w:val="1"/>
          <w:i w:val="1"/>
          <w:sz w:val="22"/>
          <w:szCs w:val="22"/>
        </w:rPr>
      </w:pPr>
      <w:r w:rsidDel="00000000" w:rsidR="00000000" w:rsidRPr="00000000">
        <w:rPr>
          <w:rFonts w:ascii="Century Gothic" w:cs="Century Gothic" w:eastAsia="Century Gothic" w:hAnsi="Century Gothic"/>
          <w:b w:val="1"/>
          <w:i w:val="1"/>
          <w:sz w:val="22"/>
          <w:szCs w:val="22"/>
          <w:rtl w:val="0"/>
        </w:rPr>
        <w:t xml:space="preserve">Térazosine (Hytrin) : </w:t>
      </w:r>
    </w:p>
    <w:p w:rsidR="00000000" w:rsidDel="00000000" w:rsidP="00000000" w:rsidRDefault="00000000" w:rsidRPr="00000000" w14:paraId="00000038">
      <w:pPr>
        <w:widowControl w:val="0"/>
        <w:contextualSpacing w:val="0"/>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Les voies métaboliques de la térazosine ne sont pas exactement connues. Cependant, il est possible que ce produit soit métabolisé par le CYP 3A4. De surcroît, la SSC de la térazosine a augmenté lors de la combinaison avec vérapamil, un inhibiteur du CYP 3A4.</w:t>
      </w:r>
      <w:r w:rsidDel="00000000" w:rsidR="00000000" w:rsidRPr="00000000">
        <w:rPr>
          <w:rFonts w:ascii="Century Gothic" w:cs="Century Gothic" w:eastAsia="Century Gothic" w:hAnsi="Century Gothic"/>
          <w:sz w:val="22"/>
          <w:szCs w:val="22"/>
          <w:vertAlign w:val="superscript"/>
          <w:rtl w:val="0"/>
        </w:rPr>
        <w:t xml:space="preserve">9</w:t>
      </w:r>
      <w:r w:rsidDel="00000000" w:rsidR="00000000" w:rsidRPr="00000000">
        <w:rPr>
          <w:rFonts w:ascii="Century Gothic" w:cs="Century Gothic" w:eastAsia="Century Gothic" w:hAnsi="Century Gothic"/>
          <w:sz w:val="22"/>
          <w:szCs w:val="22"/>
          <w:vertAlign w:val="superscript"/>
          <w:rtl w:val="0"/>
        </w:rPr>
        <w:t xml:space="preserve">, 11</w:t>
      </w:r>
      <w:r w:rsidDel="00000000" w:rsidR="00000000" w:rsidRPr="00000000">
        <w:rPr>
          <w:rFonts w:ascii="Century Gothic" w:cs="Century Gothic" w:eastAsia="Century Gothic" w:hAnsi="Century Gothic"/>
          <w:sz w:val="22"/>
          <w:szCs w:val="22"/>
          <w:rtl w:val="0"/>
        </w:rPr>
        <w:t xml:space="preserve"> </w:t>
      </w:r>
    </w:p>
    <w:p w:rsidR="00000000" w:rsidDel="00000000" w:rsidP="00000000" w:rsidRDefault="00000000" w:rsidRPr="00000000" w14:paraId="00000039">
      <w:pPr>
        <w:widowControl w:val="0"/>
        <w:contextualSpacing w:val="0"/>
        <w:jc w:val="both"/>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3A">
      <w:pPr>
        <w:widowControl w:val="0"/>
        <w:contextualSpacing w:val="0"/>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Puisque l’impact exact sur la térazosine est inconnu, la prudence s’impose.</w:t>
      </w:r>
      <w:r w:rsidDel="00000000" w:rsidR="00000000" w:rsidRPr="00000000">
        <w:rPr>
          <w:rFonts w:ascii="Century Gothic" w:cs="Century Gothic" w:eastAsia="Century Gothic" w:hAnsi="Century Gothic"/>
          <w:sz w:val="22"/>
          <w:szCs w:val="22"/>
          <w:vertAlign w:val="superscript"/>
          <w:rtl w:val="0"/>
        </w:rPr>
        <w:t xml:space="preserve">9, 11</w:t>
      </w:r>
      <w:r w:rsidDel="00000000" w:rsidR="00000000" w:rsidRPr="00000000">
        <w:rPr>
          <w:rFonts w:ascii="Century Gothic" w:cs="Century Gothic" w:eastAsia="Century Gothic" w:hAnsi="Century Gothic"/>
          <w:sz w:val="22"/>
          <w:szCs w:val="22"/>
          <w:rtl w:val="0"/>
        </w:rPr>
        <w:t xml:space="preserve"> </w:t>
      </w:r>
    </w:p>
    <w:p w:rsidR="00000000" w:rsidDel="00000000" w:rsidP="00000000" w:rsidRDefault="00000000" w:rsidRPr="00000000" w14:paraId="0000003B">
      <w:pPr>
        <w:widowControl w:val="0"/>
        <w:contextualSpacing w:val="0"/>
        <w:jc w:val="both"/>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3C">
      <w:pPr>
        <w:widowControl w:val="0"/>
        <w:contextualSpacing w:val="0"/>
        <w:jc w:val="both"/>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3D">
      <w:pPr>
        <w:contextualSpacing w:val="0"/>
        <w:jc w:val="both"/>
        <w:rPr>
          <w:rFonts w:ascii="Century Gothic" w:cs="Century Gothic" w:eastAsia="Century Gothic" w:hAnsi="Century Gothic"/>
          <w:b w:val="1"/>
          <w:sz w:val="22"/>
          <w:szCs w:val="22"/>
        </w:rPr>
      </w:pPr>
      <w:r w:rsidDel="00000000" w:rsidR="00000000" w:rsidRPr="00000000">
        <w:rPr>
          <w:rFonts w:ascii="Century Gothic" w:cs="Century Gothic" w:eastAsia="Century Gothic" w:hAnsi="Century Gothic"/>
          <w:b w:val="1"/>
          <w:sz w:val="22"/>
          <w:szCs w:val="22"/>
          <w:rtl w:val="0"/>
        </w:rPr>
        <w:t xml:space="preserve">O</w:t>
      </w:r>
      <w:r w:rsidDel="00000000" w:rsidR="00000000" w:rsidRPr="00000000">
        <w:rPr>
          <w:rFonts w:ascii="Century Gothic" w:cs="Century Gothic" w:eastAsia="Century Gothic" w:hAnsi="Century Gothic"/>
          <w:b w:val="1"/>
          <w:sz w:val="22"/>
          <w:szCs w:val="22"/>
          <w:rtl w:val="0"/>
        </w:rPr>
        <w:t xml:space="preserve">ptions thérapeutiques possibles</w:t>
      </w:r>
      <w:r w:rsidDel="00000000" w:rsidR="00000000" w:rsidRPr="00000000">
        <w:rPr>
          <w:rFonts w:ascii="Century Gothic" w:cs="Century Gothic" w:eastAsia="Century Gothic" w:hAnsi="Century Gothic"/>
          <w:b w:val="1"/>
          <w:sz w:val="22"/>
          <w:szCs w:val="22"/>
          <w:vertAlign w:val="superscript"/>
          <w:rtl w:val="0"/>
        </w:rPr>
        <w:t xml:space="preserve">1, 4, 6, </w:t>
      </w:r>
      <w:r w:rsidDel="00000000" w:rsidR="00000000" w:rsidRPr="00000000">
        <w:rPr>
          <w:rFonts w:ascii="Century Gothic" w:cs="Century Gothic" w:eastAsia="Century Gothic" w:hAnsi="Century Gothic"/>
          <w:b w:val="1"/>
          <w:sz w:val="22"/>
          <w:szCs w:val="22"/>
          <w:vertAlign w:val="superscript"/>
          <w:rtl w:val="0"/>
        </w:rPr>
        <w:t xml:space="preserve">10, 11</w:t>
      </w:r>
      <w:r w:rsidDel="00000000" w:rsidR="00000000" w:rsidRPr="00000000">
        <w:rPr>
          <w:rFonts w:ascii="Century Gothic" w:cs="Century Gothic" w:eastAsia="Century Gothic" w:hAnsi="Century Gothic"/>
          <w:b w:val="1"/>
          <w:sz w:val="22"/>
          <w:szCs w:val="22"/>
          <w:rtl w:val="0"/>
        </w:rPr>
        <w:t xml:space="preserve"> : </w:t>
      </w:r>
    </w:p>
    <w:p w:rsidR="00000000" w:rsidDel="00000000" w:rsidP="00000000" w:rsidRDefault="00000000" w:rsidRPr="00000000" w14:paraId="0000003E">
      <w:pPr>
        <w:contextualSpacing w:val="0"/>
        <w:jc w:val="both"/>
        <w:rPr>
          <w:rFonts w:ascii="Century Gothic" w:cs="Century Gothic" w:eastAsia="Century Gothic" w:hAnsi="Century Gothic"/>
          <w:b w:val="1"/>
          <w:sz w:val="22"/>
          <w:szCs w:val="22"/>
        </w:rPr>
      </w:pP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entury Gothic" w:cs="Century Gothic" w:eastAsia="Century Gothic" w:hAnsi="Century Gothic"/>
          <w:i w:val="1"/>
          <w:sz w:val="22"/>
          <w:szCs w:val="22"/>
        </w:rPr>
      </w:pPr>
      <w:r w:rsidDel="00000000" w:rsidR="00000000" w:rsidRPr="00000000">
        <w:rPr>
          <w:rFonts w:ascii="Century Gothic" w:cs="Century Gothic" w:eastAsia="Century Gothic" w:hAnsi="Century Gothic"/>
          <w:i w:val="1"/>
          <w:sz w:val="22"/>
          <w:szCs w:val="22"/>
          <w:rtl w:val="0"/>
        </w:rPr>
        <w:t xml:space="preserve">Si l’alfuzosine est ajouté à une thérapie antirétrovirale déjà existante ou si le patient était déjà sous alfuzosine et qu’une thérapie antirétrovirale est débutée .</w:t>
      </w:r>
    </w:p>
    <w:p w:rsidR="00000000" w:rsidDel="00000000" w:rsidP="00000000" w:rsidRDefault="00000000" w:rsidRPr="00000000" w14:paraId="00000040">
      <w:pPr>
        <w:widowControl w:val="0"/>
        <w:contextualSpacing w:val="0"/>
        <w:jc w:val="center"/>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*Alfuzosine contre-indiqué avec inhibiteur puissant du CYP 3A4* </w:t>
      </w:r>
    </w:p>
    <w:p w:rsidR="00000000" w:rsidDel="00000000" w:rsidP="00000000" w:rsidRDefault="00000000" w:rsidRPr="00000000" w14:paraId="00000041">
      <w:pPr>
        <w:numPr>
          <w:ilvl w:val="0"/>
          <w:numId w:val="5"/>
        </w:numPr>
        <w:ind w:left="720" w:hanging="360"/>
        <w:contextualSpacing w:val="1"/>
        <w:jc w:val="both"/>
        <w:rPr>
          <w:sz w:val="22"/>
          <w:szCs w:val="22"/>
        </w:rPr>
      </w:pPr>
      <w:r w:rsidDel="00000000" w:rsidR="00000000" w:rsidRPr="00000000">
        <w:rPr>
          <w:rFonts w:ascii="Century Gothic" w:cs="Century Gothic" w:eastAsia="Century Gothic" w:hAnsi="Century Gothic"/>
          <w:sz w:val="22"/>
          <w:szCs w:val="22"/>
          <w:rtl w:val="0"/>
        </w:rPr>
        <w:t xml:space="preserve">Si alpha-bloquant nécessaire :</w:t>
      </w:r>
    </w:p>
    <w:p w:rsidR="00000000" w:rsidDel="00000000" w:rsidP="00000000" w:rsidRDefault="00000000" w:rsidRPr="00000000" w14:paraId="00000042">
      <w:pPr>
        <w:numPr>
          <w:ilvl w:val="1"/>
          <w:numId w:val="5"/>
        </w:numPr>
        <w:ind w:left="1440" w:hanging="360"/>
        <w:contextualSpacing w:val="1"/>
        <w:jc w:val="both"/>
        <w:rPr>
          <w:sz w:val="22"/>
          <w:szCs w:val="22"/>
        </w:rPr>
      </w:pPr>
      <w:r w:rsidDel="00000000" w:rsidR="00000000" w:rsidRPr="00000000">
        <w:rPr>
          <w:rFonts w:ascii="Century Gothic" w:cs="Century Gothic" w:eastAsia="Century Gothic" w:hAnsi="Century Gothic"/>
          <w:sz w:val="22"/>
          <w:szCs w:val="22"/>
          <w:rtl w:val="0"/>
        </w:rPr>
        <w:t xml:space="preserve">Substituer alfuzosine par tamsulosine 0,4 mg DIE et exercer un suivi étroit de l’efficacité et de l’innocuité.</w:t>
      </w:r>
    </w:p>
    <w:p w:rsidR="00000000" w:rsidDel="00000000" w:rsidP="00000000" w:rsidRDefault="00000000" w:rsidRPr="00000000" w14:paraId="00000043">
      <w:pPr>
        <w:numPr>
          <w:ilvl w:val="1"/>
          <w:numId w:val="5"/>
        </w:numPr>
        <w:ind w:left="1440" w:hanging="360"/>
        <w:jc w:val="both"/>
        <w:rPr>
          <w:sz w:val="22"/>
          <w:szCs w:val="22"/>
        </w:rPr>
      </w:pPr>
      <w:r w:rsidDel="00000000" w:rsidR="00000000" w:rsidRPr="00000000">
        <w:rPr>
          <w:rFonts w:ascii="Century Gothic" w:cs="Century Gothic" w:eastAsia="Century Gothic" w:hAnsi="Century Gothic"/>
          <w:sz w:val="22"/>
          <w:szCs w:val="22"/>
          <w:rtl w:val="0"/>
        </w:rPr>
        <w:t xml:space="preserve">Substituer alfuzosine par silodosine 4 mg DIE et exercer un suivi étroit de l’efficacité et de l’innocuité.</w:t>
      </w:r>
    </w:p>
    <w:p w:rsidR="00000000" w:rsidDel="00000000" w:rsidP="00000000" w:rsidRDefault="00000000" w:rsidRPr="00000000" w14:paraId="00000044">
      <w:pPr>
        <w:numPr>
          <w:ilvl w:val="1"/>
          <w:numId w:val="5"/>
        </w:numPr>
        <w:ind w:left="1440" w:hanging="360"/>
        <w:contextualSpacing w:val="1"/>
        <w:jc w:val="both"/>
        <w:rPr>
          <w:sz w:val="22"/>
          <w:szCs w:val="22"/>
        </w:rPr>
      </w:pPr>
      <w:r w:rsidDel="00000000" w:rsidR="00000000" w:rsidRPr="00000000">
        <w:rPr>
          <w:rFonts w:ascii="Century Gothic" w:cs="Century Gothic" w:eastAsia="Century Gothic" w:hAnsi="Century Gothic"/>
          <w:sz w:val="22"/>
          <w:szCs w:val="22"/>
          <w:rtl w:val="0"/>
        </w:rPr>
        <w:t xml:space="preserve">Substituer alfuzosine par térazosine/doxazosine/prazosine à faible dose et ajuster selon l’efficacité et la tolérance.</w:t>
      </w:r>
    </w:p>
    <w:p w:rsidR="00000000" w:rsidDel="00000000" w:rsidP="00000000" w:rsidRDefault="00000000" w:rsidRPr="00000000" w14:paraId="00000045">
      <w:pPr>
        <w:widowControl w:val="0"/>
        <w:contextualSpacing w:val="0"/>
        <w:jc w:val="center"/>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i w:val="1"/>
          <w:sz w:val="22"/>
          <w:szCs w:val="22"/>
          <w:rtl w:val="0"/>
        </w:rPr>
        <w:t xml:space="preserve">Si l’alpha-bloquant (autre que alfuzosine) est ajouté à une thérapie antirétrovirale déjà existante.</w:t>
      </w:r>
      <w:r w:rsidDel="00000000" w:rsidR="00000000" w:rsidRPr="00000000">
        <w:rPr>
          <w:rtl w:val="0"/>
        </w:rPr>
      </w:r>
    </w:p>
    <w:p w:rsidR="00000000" w:rsidDel="00000000" w:rsidP="00000000" w:rsidRDefault="00000000" w:rsidRPr="00000000" w14:paraId="00000047">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sz w:val="22"/>
          <w:szCs w:val="22"/>
          <w:rtl w:val="0"/>
        </w:rPr>
        <w:t xml:space="preserve">Association à éviter si possible (tamsulosine et silodosine) ou à utiliser avec prudence (térazosine, doxazosine et prazosine). Si la combinaison de l’alpha-bloquant ne peut être évitée, débuter ce dernier à petite dose et exercer un suivi étroit de l’efficacité et de l’innocuité.</w:t>
      </w:r>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entury Gothic" w:cs="Century Gothic" w:eastAsia="Century Gothic" w:hAnsi="Century Gothic"/>
          <w:sz w:val="22"/>
          <w:szCs w:val="22"/>
        </w:rPr>
      </w:pPr>
      <w:bookmarkStart w:colFirst="0" w:colLast="0" w:name="_d5o5aonxgxam" w:id="0"/>
      <w:bookmarkEnd w:id="0"/>
      <w:r w:rsidDel="00000000" w:rsidR="00000000" w:rsidRPr="00000000">
        <w:rPr>
          <w:rtl w:val="0"/>
        </w:rPr>
      </w:r>
    </w:p>
    <w:p w:rsidR="00000000" w:rsidDel="00000000" w:rsidP="00000000" w:rsidRDefault="00000000" w:rsidRPr="00000000" w14:paraId="00000049">
      <w:pPr>
        <w:contextualSpacing w:val="0"/>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i w:val="1"/>
          <w:sz w:val="22"/>
          <w:szCs w:val="22"/>
          <w:rtl w:val="0"/>
        </w:rPr>
        <w:t xml:space="preserve">Si le patient est déjà sous alpha-bloquant (sauf alfuzosine car CI) et que la thérapie antirétrovirale est débutée.</w:t>
      </w:r>
      <w:r w:rsidDel="00000000" w:rsidR="00000000" w:rsidRPr="00000000">
        <w:rPr>
          <w:rtl w:val="0"/>
        </w:rPr>
      </w:r>
    </w:p>
    <w:p w:rsidR="00000000" w:rsidDel="00000000" w:rsidP="00000000" w:rsidRDefault="00000000" w:rsidRPr="00000000" w14:paraId="0000004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sz w:val="22"/>
          <w:szCs w:val="22"/>
        </w:rPr>
      </w:pPr>
      <w:bookmarkStart w:colFirst="0" w:colLast="0" w:name="_qvq4evl4phi7" w:id="1"/>
      <w:bookmarkEnd w:id="1"/>
      <w:r w:rsidDel="00000000" w:rsidR="00000000" w:rsidRPr="00000000">
        <w:rPr>
          <w:rFonts w:ascii="Century Gothic" w:cs="Century Gothic" w:eastAsia="Century Gothic" w:hAnsi="Century Gothic"/>
          <w:sz w:val="22"/>
          <w:szCs w:val="22"/>
          <w:rtl w:val="0"/>
        </w:rPr>
        <w:t xml:space="preserve">Association à éviter si possible (tamsulosine et silodosine) ou à utiliser avec prudence (térazosine, doxazosine et prazosine). </w:t>
      </w:r>
      <w:r w:rsidDel="00000000" w:rsidR="00000000" w:rsidRPr="00000000">
        <w:rPr>
          <w:rFonts w:ascii="Century Gothic" w:cs="Century Gothic" w:eastAsia="Century Gothic" w:hAnsi="Century Gothic"/>
          <w:sz w:val="22"/>
          <w:szCs w:val="22"/>
          <w:rtl w:val="0"/>
        </w:rPr>
        <w:t xml:space="preserve">Si l’association ne peut être évitée, utiliser la plus petite dose possible d’alpha-bloquant et assurer un suivi étroit des effets indésirables.</w:t>
      </w:r>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both"/>
        <w:rPr>
          <w:rFonts w:ascii="Century Gothic" w:cs="Century Gothic" w:eastAsia="Century Gothic" w:hAnsi="Century Gothic"/>
          <w:sz w:val="22"/>
          <w:szCs w:val="22"/>
        </w:rPr>
      </w:pPr>
      <w:bookmarkStart w:colFirst="0" w:colLast="0" w:name="_xaejlz5ku4by" w:id="2"/>
      <w:bookmarkEnd w:id="2"/>
      <w:r w:rsidDel="00000000" w:rsidR="00000000" w:rsidRPr="00000000">
        <w:rPr>
          <w:rtl w:val="0"/>
        </w:rPr>
      </w:r>
    </w:p>
    <w:p w:rsidR="00000000" w:rsidDel="00000000" w:rsidP="00000000" w:rsidRDefault="00000000" w:rsidRPr="00000000" w14:paraId="0000004C">
      <w:pPr>
        <w:contextualSpacing w:val="0"/>
        <w:jc w:val="both"/>
        <w:rPr>
          <w:rFonts w:ascii="Century Gothic" w:cs="Century Gothic" w:eastAsia="Century Gothic" w:hAnsi="Century Gothic"/>
          <w:i w:val="1"/>
          <w:sz w:val="22"/>
          <w:szCs w:val="22"/>
        </w:rPr>
      </w:pPr>
      <w:r w:rsidDel="00000000" w:rsidR="00000000" w:rsidRPr="00000000">
        <w:rPr>
          <w:rFonts w:ascii="Century Gothic" w:cs="Century Gothic" w:eastAsia="Century Gothic" w:hAnsi="Century Gothic"/>
          <w:i w:val="1"/>
          <w:sz w:val="22"/>
          <w:szCs w:val="22"/>
          <w:rtl w:val="0"/>
        </w:rPr>
        <w:t xml:space="preserve">Patient actuellement sous traitement avec l’association alpha bloquant (sauf alfuzosine car CI) et antirétroviral et la tolérant.</w:t>
      </w:r>
    </w:p>
    <w:p w:rsidR="00000000" w:rsidDel="00000000" w:rsidP="00000000" w:rsidRDefault="00000000" w:rsidRPr="00000000" w14:paraId="0000004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b w:val="0"/>
          <w:i w:val="0"/>
          <w:smallCaps w:val="0"/>
          <w:strike w:val="0"/>
          <w:color w:val="000000"/>
          <w:sz w:val="22"/>
          <w:szCs w:val="22"/>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Conserver cette combinaison et exercer un suivi étroit de l’efficacité et des effets indésirables de l’alpha bloquant.</w:t>
      </w:r>
    </w:p>
    <w:p w:rsidR="00000000" w:rsidDel="00000000" w:rsidP="00000000" w:rsidRDefault="00000000" w:rsidRPr="00000000" w14:paraId="0000004E">
      <w:pPr>
        <w:contextualSpacing w:val="0"/>
        <w:jc w:val="both"/>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4F">
      <w:pPr>
        <w:contextualSpacing w:val="0"/>
        <w:jc w:val="both"/>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50">
      <w:pPr>
        <w:contextualSpacing w:val="0"/>
        <w:jc w:val="both"/>
        <w:rPr>
          <w:rFonts w:ascii="Century Gothic" w:cs="Century Gothic" w:eastAsia="Century Gothic" w:hAnsi="Century Gothic"/>
          <w:b w:val="1"/>
          <w:sz w:val="22"/>
          <w:szCs w:val="22"/>
        </w:rPr>
      </w:pPr>
      <w:r w:rsidDel="00000000" w:rsidR="00000000" w:rsidRPr="00000000">
        <w:rPr>
          <w:rFonts w:ascii="Century Gothic" w:cs="Century Gothic" w:eastAsia="Century Gothic" w:hAnsi="Century Gothic"/>
          <w:b w:val="1"/>
          <w:sz w:val="22"/>
          <w:szCs w:val="22"/>
          <w:rtl w:val="0"/>
        </w:rPr>
        <w:t xml:space="preserve">Suivi : </w:t>
      </w:r>
    </w:p>
    <w:p w:rsidR="00000000" w:rsidDel="00000000" w:rsidP="00000000" w:rsidRDefault="00000000" w:rsidRPr="00000000" w14:paraId="0000005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b w:val="0"/>
          <w:i w:val="0"/>
          <w:smallCaps w:val="0"/>
          <w:strike w:val="0"/>
          <w:color w:val="000000"/>
          <w:sz w:val="22"/>
          <w:szCs w:val="22"/>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shd w:fill="auto" w:val="clear"/>
          <w:vertAlign w:val="baseline"/>
          <w:rtl w:val="0"/>
        </w:rPr>
        <w:t xml:space="preserve">Surveiller l’efficacité et l’innocuité (hypotension orthostatique, étourdissements, céphalées, priapisme, éjaculation rétrograde, etc.) de l’alpha bloquant.</w:t>
      </w:r>
    </w:p>
    <w:p w:rsidR="00000000" w:rsidDel="00000000" w:rsidP="00000000" w:rsidRDefault="00000000" w:rsidRPr="00000000" w14:paraId="00000052">
      <w:pPr>
        <w:contextualSpacing w:val="0"/>
        <w:rPr>
          <w:rFonts w:ascii="Century Gothic" w:cs="Century Gothic" w:eastAsia="Century Gothic" w:hAnsi="Century Gothic"/>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53">
      <w:pPr>
        <w:contextualSpacing w:val="0"/>
        <w:jc w:val="both"/>
        <w:rPr>
          <w:rFonts w:ascii="Century Gothic" w:cs="Century Gothic" w:eastAsia="Century Gothic" w:hAnsi="Century Gothic"/>
          <w:b w:val="1"/>
          <w:sz w:val="22"/>
          <w:szCs w:val="22"/>
        </w:rPr>
      </w:pPr>
      <w:r w:rsidDel="00000000" w:rsidR="00000000" w:rsidRPr="00000000">
        <w:rPr>
          <w:rFonts w:ascii="Century Gothic" w:cs="Century Gothic" w:eastAsia="Century Gothic" w:hAnsi="Century Gothic"/>
          <w:b w:val="1"/>
          <w:sz w:val="22"/>
          <w:szCs w:val="22"/>
          <w:rtl w:val="0"/>
        </w:rPr>
        <w:t xml:space="preserve">Suggestion de la pharmacie ou nouvelle prescription</w:t>
      </w:r>
    </w:p>
    <w:p w:rsidR="00000000" w:rsidDel="00000000" w:rsidP="00000000" w:rsidRDefault="00000000" w:rsidRPr="00000000" w14:paraId="00000054">
      <w:pPr>
        <w:contextualSpacing w:val="0"/>
        <w:jc w:val="both"/>
        <w:rPr>
          <w:rFonts w:ascii="Century Gothic" w:cs="Century Gothic" w:eastAsia="Century Gothic" w:hAnsi="Century Gothic"/>
          <w:sz w:val="22"/>
          <w:szCs w:val="22"/>
          <w:u w:val="single"/>
        </w:rPr>
      </w:pPr>
      <w:r w:rsidDel="00000000" w:rsidR="00000000" w:rsidRPr="00000000">
        <w:rPr>
          <w:rtl w:val="0"/>
        </w:rPr>
      </w:r>
    </w:p>
    <w:tbl>
      <w:tblPr>
        <w:tblStyle w:val="Table1"/>
        <w:tblW w:w="939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96"/>
        <w:tblGridChange w:id="0">
          <w:tblGrid>
            <w:gridCol w:w="9396"/>
          </w:tblGrid>
        </w:tblGridChange>
      </w:tblGrid>
      <w:tr>
        <w:tc>
          <w:tcPr/>
          <w:p w:rsidR="00000000" w:rsidDel="00000000" w:rsidP="00000000" w:rsidRDefault="00000000" w:rsidRPr="00000000" w14:paraId="00000055">
            <w:pPr>
              <w:contextualSpacing w:val="0"/>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Date : _____/_____/_____</w:t>
            </w:r>
          </w:p>
          <w:p w:rsidR="00000000" w:rsidDel="00000000" w:rsidP="00000000" w:rsidRDefault="00000000" w:rsidRPr="00000000" w14:paraId="00000056">
            <w:pPr>
              <w:contextualSpacing w:val="0"/>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Patient(e) : ________________________          DDN : _____/_____/_____</w:t>
            </w:r>
          </w:p>
          <w:p w:rsidR="00000000" w:rsidDel="00000000" w:rsidP="00000000" w:rsidRDefault="00000000" w:rsidRPr="00000000" w14:paraId="00000057">
            <w:pPr>
              <w:contextualSpacing w:val="0"/>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 Téléphone : _____________________________</w:t>
            </w:r>
          </w:p>
        </w:tc>
      </w:tr>
      <w:tr>
        <w:tc>
          <w:tcPr/>
          <w:p w:rsidR="00000000" w:rsidDel="00000000" w:rsidP="00000000" w:rsidRDefault="00000000" w:rsidRPr="00000000" w14:paraId="00000058">
            <w:pPr>
              <w:contextualSpacing w:val="0"/>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Rx : </w:t>
            </w:r>
          </w:p>
          <w:p w:rsidR="00000000" w:rsidDel="00000000" w:rsidP="00000000" w:rsidRDefault="00000000" w:rsidRPr="00000000" w14:paraId="00000059">
            <w:pPr>
              <w:contextualSpacing w:val="0"/>
              <w:jc w:val="both"/>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5A">
            <w:pPr>
              <w:contextualSpacing w:val="0"/>
              <w:jc w:val="both"/>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5B">
            <w:pPr>
              <w:contextualSpacing w:val="0"/>
              <w:jc w:val="both"/>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5C">
            <w:pPr>
              <w:contextualSpacing w:val="0"/>
              <w:jc w:val="both"/>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5D">
            <w:pPr>
              <w:contextualSpacing w:val="0"/>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Ren : _____</w:t>
            </w:r>
          </w:p>
          <w:p w:rsidR="00000000" w:rsidDel="00000000" w:rsidP="00000000" w:rsidRDefault="00000000" w:rsidRPr="00000000" w14:paraId="0000005E">
            <w:pPr>
              <w:contextualSpacing w:val="0"/>
              <w:jc w:val="both"/>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5F">
            <w:pPr>
              <w:contextualSpacing w:val="0"/>
              <w:jc w:val="both"/>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60">
            <w:pPr>
              <w:contextualSpacing w:val="0"/>
              <w:jc w:val="both"/>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61">
            <w:pPr>
              <w:contextualSpacing w:val="0"/>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Médecin : __________     Licence : __________    Signature : __________</w:t>
            </w:r>
          </w:p>
          <w:p w:rsidR="00000000" w:rsidDel="00000000" w:rsidP="00000000" w:rsidRDefault="00000000" w:rsidRPr="00000000" w14:paraId="00000062">
            <w:pPr>
              <w:contextualSpacing w:val="0"/>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Adresse : ____________________________________________</w:t>
            </w:r>
          </w:p>
          <w:p w:rsidR="00000000" w:rsidDel="00000000" w:rsidP="00000000" w:rsidRDefault="00000000" w:rsidRPr="00000000" w14:paraId="00000063">
            <w:pPr>
              <w:contextualSpacing w:val="0"/>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#Téléphone : ____________________     #Télécopieur : ________________</w:t>
            </w:r>
          </w:p>
        </w:tc>
      </w:tr>
      <w:tr>
        <w:tc>
          <w:tcPr/>
          <w:p w:rsidR="00000000" w:rsidDel="00000000" w:rsidP="00000000" w:rsidRDefault="00000000" w:rsidRPr="00000000" w14:paraId="00000064">
            <w:pPr>
              <w:contextualSpacing w:val="0"/>
              <w:jc w:val="center"/>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Certification du prescripteur </w:t>
            </w:r>
          </w:p>
          <w:p w:rsidR="00000000" w:rsidDel="00000000" w:rsidP="00000000" w:rsidRDefault="00000000" w:rsidRPr="00000000" w14:paraId="00000065">
            <w:pPr>
              <w:contextualSpacing w:val="0"/>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Je certifie que : </w:t>
            </w:r>
          </w:p>
          <w:p w:rsidR="00000000" w:rsidDel="00000000" w:rsidP="00000000" w:rsidRDefault="00000000" w:rsidRPr="00000000" w14:paraId="00000066">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cette ordonnance est une ordonnance originale, </w:t>
            </w:r>
          </w:p>
          <w:p w:rsidR="00000000" w:rsidDel="00000000" w:rsidP="00000000" w:rsidRDefault="00000000" w:rsidRPr="00000000" w14:paraId="00000067">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le pharmacien identifié précité est le seul destinataire, </w:t>
            </w:r>
          </w:p>
          <w:p w:rsidR="00000000" w:rsidDel="00000000" w:rsidP="00000000" w:rsidRDefault="00000000" w:rsidRPr="00000000" w14:paraId="00000068">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l’original ne sera pas réutilisé.</w:t>
            </w:r>
          </w:p>
        </w:tc>
      </w:tr>
    </w:tbl>
    <w:p w:rsidR="00000000" w:rsidDel="00000000" w:rsidP="00000000" w:rsidRDefault="00000000" w:rsidRPr="00000000" w14:paraId="00000069">
      <w:pPr>
        <w:contextualSpacing w:val="0"/>
        <w:jc w:val="both"/>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6A">
      <w:pPr>
        <w:contextualSpacing w:val="0"/>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Veuillez svp nous faire parvenir une copie de cette page avec votre conduite à tenir. </w:t>
      </w:r>
    </w:p>
    <w:p w:rsidR="00000000" w:rsidDel="00000000" w:rsidP="00000000" w:rsidRDefault="00000000" w:rsidRPr="00000000" w14:paraId="0000006B">
      <w:pPr>
        <w:contextualSpacing w:val="0"/>
        <w:jc w:val="both"/>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6C">
      <w:pPr>
        <w:contextualSpacing w:val="0"/>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Si vous avez besoin d’information complémentaire, n’hésitez pas à communiquer avec moi. </w:t>
      </w:r>
    </w:p>
    <w:p w:rsidR="00000000" w:rsidDel="00000000" w:rsidP="00000000" w:rsidRDefault="00000000" w:rsidRPr="00000000" w14:paraId="0000006D">
      <w:pPr>
        <w:contextualSpacing w:val="0"/>
        <w:jc w:val="both"/>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6E">
      <w:pPr>
        <w:contextualSpacing w:val="0"/>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Cordialement, </w:t>
      </w:r>
    </w:p>
    <w:p w:rsidR="00000000" w:rsidDel="00000000" w:rsidP="00000000" w:rsidRDefault="00000000" w:rsidRPr="00000000" w14:paraId="0000006F">
      <w:pPr>
        <w:contextualSpacing w:val="0"/>
        <w:jc w:val="both"/>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70">
      <w:pPr>
        <w:contextualSpacing w:val="0"/>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Pharmacien(ne) : ____________________</w:t>
        <w:tab/>
        <w:t xml:space="preserve">Pharmacie : ____________________</w:t>
      </w:r>
    </w:p>
    <w:p w:rsidR="00000000" w:rsidDel="00000000" w:rsidP="00000000" w:rsidRDefault="00000000" w:rsidRPr="00000000" w14:paraId="00000071">
      <w:pPr>
        <w:contextualSpacing w:val="0"/>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#Téléphone : ____________________</w:t>
        <w:tab/>
        <w:t xml:space="preserve">#Télécopieur : ____________________</w:t>
      </w:r>
    </w:p>
    <w:p w:rsidR="00000000" w:rsidDel="00000000" w:rsidP="00000000" w:rsidRDefault="00000000" w:rsidRPr="00000000" w14:paraId="00000072">
      <w:pPr>
        <w:contextualSpacing w:val="0"/>
        <w:jc w:val="both"/>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73">
      <w:pPr>
        <w:contextualSpacing w:val="0"/>
        <w:rPr>
          <w:rFonts w:ascii="Century Gothic" w:cs="Century Gothic" w:eastAsia="Century Gothic" w:hAnsi="Century Gothic"/>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74">
      <w:pPr>
        <w:contextualSpacing w:val="0"/>
        <w:jc w:val="both"/>
        <w:rPr>
          <w:rFonts w:ascii="Century Gothic" w:cs="Century Gothic" w:eastAsia="Century Gothic" w:hAnsi="Century Gothic"/>
          <w:b w:val="1"/>
          <w:sz w:val="22"/>
          <w:szCs w:val="22"/>
        </w:rPr>
      </w:pPr>
      <w:r w:rsidDel="00000000" w:rsidR="00000000" w:rsidRPr="00000000">
        <w:rPr>
          <w:rFonts w:ascii="Century Gothic" w:cs="Century Gothic" w:eastAsia="Century Gothic" w:hAnsi="Century Gothic"/>
          <w:b w:val="1"/>
          <w:sz w:val="22"/>
          <w:szCs w:val="22"/>
          <w:rtl w:val="0"/>
        </w:rPr>
        <w:t xml:space="preserve">Références : </w:t>
      </w:r>
    </w:p>
    <w:p w:rsidR="00000000" w:rsidDel="00000000" w:rsidP="00000000" w:rsidRDefault="00000000" w:rsidRPr="00000000" w14:paraId="00000075">
      <w:pPr>
        <w:contextualSpacing w:val="0"/>
        <w:jc w:val="both"/>
        <w:rPr>
          <w:rFonts w:ascii="Century Gothic" w:cs="Century Gothic" w:eastAsia="Century Gothic" w:hAnsi="Century Gothic"/>
          <w:b w:val="1"/>
          <w:sz w:val="22"/>
          <w:szCs w:val="22"/>
        </w:rPr>
      </w:pPr>
      <w:r w:rsidDel="00000000" w:rsidR="00000000" w:rsidRPr="00000000">
        <w:rPr>
          <w:rtl w:val="0"/>
        </w:rPr>
      </w:r>
    </w:p>
    <w:p w:rsidR="00000000" w:rsidDel="00000000" w:rsidP="00000000" w:rsidRDefault="00000000" w:rsidRPr="00000000" w14:paraId="00000076">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14" w:right="0" w:hanging="357"/>
        <w:contextualSpacing w:val="1"/>
        <w:jc w:val="both"/>
        <w:rPr>
          <w:rFonts w:ascii="Century Gothic" w:cs="Century Gothic" w:eastAsia="Century Gothic" w:hAnsi="Century Gothic"/>
          <w:b w:val="0"/>
          <w:i w:val="0"/>
          <w:smallCaps w:val="0"/>
          <w:strike w:val="0"/>
          <w:color w:val="00000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Monographie : Alfuzosin (Xatral), Sanofi-Aventis, Québec, Canada, 13 mars 2017.</w:t>
      </w:r>
    </w:p>
    <w:p w:rsidR="00000000" w:rsidDel="00000000" w:rsidP="00000000" w:rsidRDefault="00000000" w:rsidRPr="00000000" w14:paraId="00000077">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14" w:right="0" w:hanging="357"/>
        <w:contextualSpacing w:val="1"/>
        <w:jc w:val="both"/>
        <w:rPr>
          <w:rFonts w:ascii="Century Gothic" w:cs="Century Gothic" w:eastAsia="Century Gothic" w:hAnsi="Century Gothic"/>
          <w:b w:val="0"/>
          <w:i w:val="0"/>
          <w:smallCaps w:val="0"/>
          <w:strike w:val="0"/>
          <w:color w:val="00000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highlight w:val="white"/>
          <w:u w:val="none"/>
          <w:vertAlign w:val="baseline"/>
          <w:rtl w:val="0"/>
        </w:rPr>
        <w:t xml:space="preserve">Guay DR. Extended-Release Alfuzosin Hydrochloride: A New Alpha-Adrenergic Receptor Antagonist for Symptomatic Benign Prostatic Hyperplasia. Am J Geriatr Pharmacother. 2004; 2(1):14-23.</w:t>
      </w:r>
      <w:r w:rsidDel="00000000" w:rsidR="00000000" w:rsidRPr="00000000">
        <w:rPr>
          <w:rtl w:val="0"/>
        </w:rPr>
      </w:r>
    </w:p>
    <w:p w:rsidR="00000000" w:rsidDel="00000000" w:rsidP="00000000" w:rsidRDefault="00000000" w:rsidRPr="00000000" w14:paraId="00000078">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14" w:right="0" w:hanging="357"/>
        <w:contextualSpacing w:val="1"/>
        <w:jc w:val="both"/>
        <w:rPr>
          <w:rFonts w:ascii="Century Gothic" w:cs="Century Gothic" w:eastAsia="Century Gothic" w:hAnsi="Century Gothic"/>
          <w:b w:val="0"/>
          <w:i w:val="0"/>
          <w:smallCaps w:val="0"/>
          <w:strike w:val="0"/>
          <w:color w:val="00000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Hammond KP, Nielsen C, Linnebur SA, Langness JA, Ray G et al. Priapism Induced by Boceprevir-CYP3A4 Inhibition and alpha-Adrenergic Blockade: Case Report. Clinical Infectious Diseases, 2014; 58(1): e35-38.</w:t>
      </w:r>
    </w:p>
    <w:p w:rsidR="00000000" w:rsidDel="00000000" w:rsidP="00000000" w:rsidRDefault="00000000" w:rsidRPr="00000000" w14:paraId="00000079">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14" w:right="0" w:hanging="357"/>
        <w:contextualSpacing w:val="1"/>
        <w:jc w:val="both"/>
        <w:rPr>
          <w:rFonts w:ascii="Century Gothic" w:cs="Century Gothic" w:eastAsia="Century Gothic" w:hAnsi="Century Gothic"/>
          <w:b w:val="0"/>
          <w:i w:val="0"/>
          <w:smallCaps w:val="0"/>
          <w:strike w:val="0"/>
          <w:color w:val="00000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Monographie : Silodosine (Rapaflo), Watson Laboratories, Ontario, Canada, 14 janvier 2015.</w:t>
      </w:r>
    </w:p>
    <w:p w:rsidR="00000000" w:rsidDel="00000000" w:rsidP="00000000" w:rsidRDefault="00000000" w:rsidRPr="00000000" w14:paraId="0000007A">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rFonts w:ascii="Century Gothic" w:cs="Century Gothic" w:eastAsia="Century Gothic" w:hAnsi="Century Gothic"/>
          <w:b w:val="0"/>
          <w:i w:val="0"/>
          <w:smallCaps w:val="0"/>
          <w:strike w:val="0"/>
          <w:color w:val="00000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Lepor H, Hill LA. Silodosin for the treatment of benign prostatic hyperplasia: pharmacology and cardiovascular tolerability. Pharmacotherapy. 2010 Dec; 30 (12): 1303-12.</w:t>
      </w:r>
    </w:p>
    <w:p w:rsidR="00000000" w:rsidDel="00000000" w:rsidP="00000000" w:rsidRDefault="00000000" w:rsidRPr="00000000" w14:paraId="0000007B">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rFonts w:ascii="Century Gothic" w:cs="Century Gothic" w:eastAsia="Century Gothic" w:hAnsi="Century Gothic"/>
          <w:b w:val="0"/>
          <w:i w:val="0"/>
          <w:smallCaps w:val="0"/>
          <w:strike w:val="0"/>
          <w:color w:val="00000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Monographie : Tamsulosin (Flomax CR). Boehringer Ingelheim, Ontario, Canada, 21 février 2014.</w:t>
      </w:r>
    </w:p>
    <w:p w:rsidR="00000000" w:rsidDel="00000000" w:rsidP="00000000" w:rsidRDefault="00000000" w:rsidRPr="00000000" w14:paraId="0000007C">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rFonts w:ascii="Century Gothic" w:cs="Century Gothic" w:eastAsia="Century Gothic" w:hAnsi="Century Gothic"/>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Troost J, Tatami S, Tsuda Y, Mattheus M, Mehlburger L, Wein M et al. Effects of stro</w:t>
      </w:r>
      <w:r w:rsidDel="00000000" w:rsidR="00000000" w:rsidRPr="00000000">
        <w:rPr>
          <w:rFonts w:ascii="Century Gothic" w:cs="Century Gothic" w:eastAsia="Century Gothic" w:hAnsi="Century Gothic"/>
          <w:sz w:val="22"/>
          <w:szCs w:val="22"/>
          <w:rtl w:val="0"/>
        </w:rPr>
        <w:t xml:space="preserve">ng CYP2D6 and 3A4 inhibitors, paroxetine and ketoconazole on the pharmacokinetics and cardiovascular safety of tamsulosin. British journal of clinical pharmacology. 2011; 72(2) :247-56.</w:t>
      </w:r>
    </w:p>
    <w:p w:rsidR="00000000" w:rsidDel="00000000" w:rsidP="00000000" w:rsidRDefault="00000000" w:rsidRPr="00000000" w14:paraId="0000007D">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rFonts w:ascii="Century Gothic" w:cs="Century Gothic" w:eastAsia="Century Gothic" w:hAnsi="Century Gothic"/>
        </w:rPr>
      </w:pPr>
      <w:r w:rsidDel="00000000" w:rsidR="00000000" w:rsidRPr="00000000">
        <w:rPr>
          <w:rFonts w:ascii="Century Gothic" w:cs="Century Gothic" w:eastAsia="Century Gothic" w:hAnsi="Century Gothic"/>
          <w:sz w:val="22"/>
          <w:szCs w:val="22"/>
          <w:rtl w:val="0"/>
        </w:rPr>
        <w:t xml:space="preserve">Swaris B, Teo S and E Monteiro. Tamsulosin induced retrograde ejaculation and intramuscular steroid induced Cushing’s syndrome in a patient with Ritonavir-boosted antiretroviral regimen. BHIVA 2014, Liverpool UK, 1-4 april 2014, abstract P336.</w:t>
      </w:r>
      <w:r w:rsidDel="00000000" w:rsidR="00000000" w:rsidRPr="00000000">
        <w:rPr>
          <w:rtl w:val="0"/>
        </w:rPr>
      </w:r>
    </w:p>
    <w:p w:rsidR="00000000" w:rsidDel="00000000" w:rsidP="00000000" w:rsidRDefault="00000000" w:rsidRPr="00000000" w14:paraId="0000007E">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rFonts w:ascii="Century Gothic" w:cs="Century Gothic" w:eastAsia="Century Gothic" w:hAnsi="Century Gothic"/>
        </w:rPr>
      </w:pPr>
      <w:r w:rsidDel="00000000" w:rsidR="00000000" w:rsidRPr="00000000">
        <w:rPr>
          <w:rFonts w:ascii="Century Gothic" w:cs="Century Gothic" w:eastAsia="Century Gothic" w:hAnsi="Century Gothic"/>
          <w:sz w:val="22"/>
          <w:szCs w:val="22"/>
          <w:rtl w:val="0"/>
        </w:rPr>
        <w:t xml:space="preserve">Monographie : Terazosin (Hytrin), BGP Pharma, Québec, Canada, 1</w:t>
      </w:r>
      <w:r w:rsidDel="00000000" w:rsidR="00000000" w:rsidRPr="00000000">
        <w:rPr>
          <w:rFonts w:ascii="Century Gothic" w:cs="Century Gothic" w:eastAsia="Century Gothic" w:hAnsi="Century Gothic"/>
          <w:sz w:val="22"/>
          <w:szCs w:val="22"/>
          <w:rtl w:val="0"/>
        </w:rPr>
        <w:t xml:space="preserve">er</w:t>
      </w:r>
      <w:r w:rsidDel="00000000" w:rsidR="00000000" w:rsidRPr="00000000">
        <w:rPr>
          <w:rFonts w:ascii="Century Gothic" w:cs="Century Gothic" w:eastAsia="Century Gothic" w:hAnsi="Century Gothic"/>
          <w:sz w:val="22"/>
          <w:szCs w:val="22"/>
          <w:rtl w:val="0"/>
        </w:rPr>
        <w:t xml:space="preserve"> avril 2016</w:t>
      </w:r>
    </w:p>
    <w:p w:rsidR="00000000" w:rsidDel="00000000" w:rsidP="00000000" w:rsidRDefault="00000000" w:rsidRPr="00000000" w14:paraId="0000007F">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rFonts w:ascii="Century Gothic" w:cs="Century Gothic" w:eastAsia="Century Gothic" w:hAnsi="Century Gothic"/>
        </w:rPr>
      </w:pPr>
      <w:r w:rsidDel="00000000" w:rsidR="00000000" w:rsidRPr="00000000">
        <w:rPr>
          <w:rFonts w:ascii="Century Gothic" w:cs="Century Gothic" w:eastAsia="Century Gothic" w:hAnsi="Century Gothic"/>
          <w:sz w:val="22"/>
          <w:szCs w:val="22"/>
          <w:rtl w:val="0"/>
        </w:rPr>
        <w:t xml:space="preserve">Monographie : Ritonavir (Norvir), Corporation AbbVie, Québec, Canada, 27 novembre 2017.</w:t>
      </w:r>
    </w:p>
    <w:p w:rsidR="00000000" w:rsidDel="00000000" w:rsidP="00000000" w:rsidRDefault="00000000" w:rsidRPr="00000000" w14:paraId="00000080">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14" w:right="0" w:hanging="357"/>
        <w:contextualSpacing w:val="1"/>
        <w:jc w:val="both"/>
        <w:rPr>
          <w:rFonts w:ascii="Century Gothic" w:cs="Century Gothic" w:eastAsia="Century Gothic" w:hAnsi="Century Gothic"/>
          <w:b w:val="0"/>
          <w:i w:val="0"/>
          <w:smallCaps w:val="0"/>
          <w:strike w:val="0"/>
          <w:color w:val="00000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Guide thérapeutique VIH. [En ligne]. Disponible : </w:t>
      </w:r>
      <w:r w:rsidDel="00000000" w:rsidR="00000000" w:rsidRPr="00000000">
        <w:rPr>
          <w:rFonts w:ascii="Century Gothic" w:cs="Century Gothic" w:eastAsia="Century Gothic" w:hAnsi="Century Gothic"/>
          <w:b w:val="0"/>
          <w:i w:val="0"/>
          <w:smallCaps w:val="0"/>
          <w:strike w:val="0"/>
          <w:color w:val="0000ff"/>
          <w:sz w:val="22"/>
          <w:szCs w:val="22"/>
          <w:u w:val="none"/>
          <w:shd w:fill="auto" w:val="clear"/>
          <w:vertAlign w:val="baseline"/>
          <w:rtl w:val="0"/>
        </w:rPr>
        <w:t xml:space="preserve">http://www.guidetherapeutiquevih.com</w:t>
      </w:r>
      <w:r w:rsidDel="00000000" w:rsidR="00000000" w:rsidRPr="00000000">
        <w:rPr>
          <w:rtl w:val="0"/>
        </w:rPr>
      </w:r>
    </w:p>
    <w:sectPr>
      <w:footerReference r:id="rId6" w:type="default"/>
      <w:pgSz w:h="15840" w:w="12240"/>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 w:name="Courier New"/>
  <w:font w:name="Noto Sans Symbols"/>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1">
    <w:pPr>
      <w:tabs>
        <w:tab w:val="center" w:pos="4680"/>
        <w:tab w:val="right" w:pos="9360"/>
      </w:tabs>
      <w:contextualSpacing w:val="0"/>
      <w:rPr>
        <w:rFonts w:ascii="Calibri" w:cs="Calibri" w:eastAsia="Calibri" w:hAnsi="Calibri"/>
      </w:rPr>
    </w:pPr>
    <w:hyperlink r:id="rId1">
      <w:r w:rsidDel="00000000" w:rsidR="00000000" w:rsidRPr="00000000">
        <w:rPr>
          <w:rFonts w:ascii="Calibri" w:cs="Calibri" w:eastAsia="Calibri" w:hAnsi="Calibri"/>
          <w:color w:val="0563c1"/>
          <w:u w:val="single"/>
          <w:rtl w:val="0"/>
        </w:rPr>
        <w:t xml:space="preserve">www.guidetherapeutiqueVIH.com</w:t>
      </w:r>
    </w:hyperlink>
    <w:r w:rsidDel="00000000" w:rsidR="00000000" w:rsidRPr="00000000">
      <w:rPr>
        <w:rFonts w:ascii="Calibri" w:cs="Calibri" w:eastAsia="Calibri" w:hAnsi="Calibri"/>
        <w:rtl w:val="0"/>
      </w:rPr>
      <w:t xml:space="preserve">  </w:t>
      <w:tab/>
      <w:tab/>
      <w:t xml:space="preserve">Septembre 2018</w:t>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decimal"/>
      <w:lvlText w:val="%1."/>
      <w:lvlJc w:val="left"/>
      <w:pPr>
        <w:ind w:left="720" w:hanging="360"/>
      </w:pPr>
      <w:rPr>
        <w:sz w:val="22"/>
        <w:szCs w:val="22"/>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fr-F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_rels/footer1.xml.rels><?xml version="1.0" encoding="UTF-8" standalone="yes"?><Relationships xmlns="http://schemas.openxmlformats.org/package/2006/relationships"><Relationship Id="rId1" Type="http://schemas.openxmlformats.org/officeDocument/2006/relationships/hyperlink" Target="http://www.guidetherapeutiquevi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