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D7670" w:rsidP="00FB3328">
      <w:pPr>
        <w:ind w:left="720"/>
        <w:jc w:val="center"/>
        <w:rPr>
          <w:color w:val="000000"/>
          <w:lang w:val="fr-CA"/>
        </w:rPr>
      </w:pPr>
      <w:r>
        <w:rPr>
          <w:b/>
          <w:lang w:val="fr-CA"/>
        </w:rPr>
        <w:t>Sofosbuvir/Velpatasvir/</w:t>
      </w:r>
      <w:r w:rsidRPr="007D7670">
        <w:rPr>
          <w:b/>
          <w:lang w:val="fr-CA"/>
        </w:rPr>
        <w:t>Voxilaprévir (Vosevi)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r w:rsidR="00AF581A" w:rsidRPr="00AF581A">
        <w:rPr>
          <w:rFonts w:eastAsia="Century Gothic"/>
          <w:lang w:val="fr-CA"/>
        </w:rPr>
        <w:t>Lovastatine (Mevacor)/Simvastatin</w:t>
      </w:r>
      <w:r w:rsidR="004E4CF2">
        <w:rPr>
          <w:rFonts w:eastAsia="Century Gothic"/>
          <w:lang w:val="fr-CA"/>
        </w:rPr>
        <w:t>e</w:t>
      </w:r>
      <w:r w:rsidR="00AF581A" w:rsidRPr="00AF581A">
        <w:rPr>
          <w:rFonts w:eastAsia="Century Gothic"/>
          <w:lang w:val="fr-CA"/>
        </w:rPr>
        <w:t xml:space="preserve"> (Zocor)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A974BF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1" w:name="bmAutoText1"/>
      <w:r>
        <w:rPr>
          <w:rFonts w:eastAsia="Century Gothic"/>
          <w:b/>
          <w:bCs/>
          <w:i/>
          <w:lang w:val="fr-CA"/>
        </w:rPr>
        <w:t>Sofosbuvir/Velpatasvir/</w:t>
      </w:r>
      <w:r w:rsidRPr="005414A7">
        <w:rPr>
          <w:rFonts w:eastAsia="Century Gothic"/>
          <w:b/>
          <w:bCs/>
          <w:i/>
          <w:lang w:val="fr-CA"/>
        </w:rPr>
        <w:t>Voxilaprévir (Vosevi)</w:t>
      </w:r>
      <w:r w:rsidRPr="005414A7">
        <w:rPr>
          <w:rFonts w:eastAsia="Century Gothic"/>
          <w:i/>
          <w:lang w:val="fr-CA"/>
        </w:rPr>
        <w:t xml:space="preserve"> </w:t>
      </w:r>
      <w:r w:rsidRPr="005414A7">
        <w:rPr>
          <w:rFonts w:eastAsia="Century Gothic"/>
          <w:b/>
          <w:bCs/>
          <w:i/>
          <w:lang w:val="fr-CA"/>
        </w:rPr>
        <w:t xml:space="preserve">et </w:t>
      </w:r>
      <w:r w:rsidR="00AF581A">
        <w:rPr>
          <w:rFonts w:eastAsia="Century Gothic"/>
          <w:b/>
          <w:bCs/>
          <w:i/>
          <w:lang w:val="fr-CA"/>
        </w:rPr>
        <w:t xml:space="preserve">Lovastatine/Simvastatine </w:t>
      </w:r>
      <w:r w:rsidRPr="005414A7">
        <w:rPr>
          <w:rFonts w:eastAsia="Century Gothic"/>
          <w:i/>
          <w:lang w:val="fr-CA"/>
        </w:rPr>
        <w:t> </w:t>
      </w:r>
      <w:r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1"/>
    <w:p w:rsidR="00AF581A" w:rsidRPr="005414A7" w:rsidRDefault="00AF581A" w:rsidP="00AF581A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AF581A" w:rsidRPr="005414A7" w:rsidRDefault="00AF581A" w:rsidP="004E4CF2">
      <w:pPr>
        <w:jc w:val="both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Cs/>
          <w:lang w:val="fr-CA"/>
        </w:rPr>
        <w:t>Aucune étu</w:t>
      </w:r>
      <w:r w:rsidR="004E4CF2">
        <w:rPr>
          <w:rFonts w:eastAsia="Century Gothic"/>
          <w:bCs/>
          <w:lang w:val="fr-CA"/>
        </w:rPr>
        <w:t>de sur l’interaction Sofosbuvir/Velpatasvir/</w:t>
      </w:r>
      <w:r w:rsidRPr="005414A7">
        <w:rPr>
          <w:rFonts w:eastAsia="Century Gothic"/>
          <w:bCs/>
          <w:lang w:val="fr-CA"/>
        </w:rPr>
        <w:t>Voxil</w:t>
      </w:r>
      <w:r w:rsidR="00884BB6">
        <w:rPr>
          <w:rFonts w:eastAsia="Century Gothic"/>
          <w:bCs/>
          <w:lang w:val="fr-CA"/>
        </w:rPr>
        <w:t>a</w:t>
      </w:r>
      <w:r w:rsidR="004E4CF2">
        <w:rPr>
          <w:rFonts w:eastAsia="Century Gothic"/>
          <w:bCs/>
          <w:lang w:val="fr-CA"/>
        </w:rPr>
        <w:t xml:space="preserve">prévir (Vosevi) et Lovastatine/ </w:t>
      </w:r>
      <w:r w:rsidRPr="005414A7">
        <w:rPr>
          <w:rFonts w:eastAsia="Century Gothic"/>
          <w:bCs/>
          <w:lang w:val="fr-CA"/>
        </w:rPr>
        <w:t>Simvastatine n’est disponible. La monographie recommande d’utiliser cette association avec prudence</w:t>
      </w:r>
      <w:r w:rsidR="004E4CF2">
        <w:rPr>
          <w:rFonts w:eastAsia="Century Gothic"/>
          <w:bCs/>
          <w:lang w:val="fr-CA"/>
        </w:rPr>
        <w:t>.</w:t>
      </w:r>
    </w:p>
    <w:p w:rsidR="00AF581A" w:rsidRPr="005414A7" w:rsidRDefault="00AF581A" w:rsidP="00AF581A">
      <w:pPr>
        <w:rPr>
          <w:rFonts w:eastAsia="Century Gothic"/>
          <w:b/>
          <w:bCs/>
          <w:lang w:val="fr-CA"/>
        </w:rPr>
      </w:pPr>
    </w:p>
    <w:p w:rsidR="00AF581A" w:rsidRPr="005414A7" w:rsidRDefault="00AF581A" w:rsidP="00AF581A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(Lovastatine/Simvastatine) : </w:t>
      </w:r>
    </w:p>
    <w:p w:rsidR="00AF581A" w:rsidRPr="003B33D6" w:rsidRDefault="00AF581A" w:rsidP="00AF581A">
      <w:pPr>
        <w:rPr>
          <w:rFonts w:eastAsia="Century Gothic"/>
          <w:rtl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Lovastatine/Simvastatine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Substituer la Lovastatine/Simvastatine pour _____________________________________ REN :_______</w:t>
      </w:r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la Lovastatine/Simvastatine à  ______  *Du ____________ au _____________ *</w:t>
      </w:r>
    </w:p>
    <w:p w:rsidR="00AF581A" w:rsidRPr="0006557A" w:rsidRDefault="00AF581A" w:rsidP="00AF581A">
      <w:pPr>
        <w:pStyle w:val="Paragraphedeliste"/>
        <w:rPr>
          <w:rFonts w:eastAsia="Century Gothic"/>
          <w:lang w:val="fr-CA"/>
        </w:rPr>
      </w:pPr>
    </w:p>
    <w:p w:rsidR="00AF581A" w:rsidRPr="00EC46A5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C47F74">
        <w:rPr>
          <w:rFonts w:eastAsia="Century Gothic"/>
        </w:rPr>
        <w:t>Autre :_______________________________________________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:_______</w:t>
      </w:r>
    </w:p>
    <w:p w:rsidR="00AF581A" w:rsidRPr="0027057B" w:rsidRDefault="00AF581A" w:rsidP="00AF581A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39" w:rsidRDefault="003E5D39" w:rsidP="00CD5A4A">
      <w:r>
        <w:separator/>
      </w:r>
    </w:p>
  </w:endnote>
  <w:endnote w:type="continuationSeparator" w:id="0">
    <w:p w:rsidR="003E5D39" w:rsidRDefault="003E5D3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511F7C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39" w:rsidRDefault="003E5D39" w:rsidP="00CD5A4A">
      <w:r>
        <w:separator/>
      </w:r>
    </w:p>
  </w:footnote>
  <w:footnote w:type="continuationSeparator" w:id="0">
    <w:p w:rsidR="003E5D39" w:rsidRDefault="003E5D3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E5D3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E5D3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3E5D39"/>
    <w:rsid w:val="004066E9"/>
    <w:rsid w:val="00427BE2"/>
    <w:rsid w:val="00442536"/>
    <w:rsid w:val="0044508D"/>
    <w:rsid w:val="00446286"/>
    <w:rsid w:val="00467422"/>
    <w:rsid w:val="004862C3"/>
    <w:rsid w:val="00497C72"/>
    <w:rsid w:val="004E4CF2"/>
    <w:rsid w:val="00511F7C"/>
    <w:rsid w:val="00533604"/>
    <w:rsid w:val="00547DB4"/>
    <w:rsid w:val="00563355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228F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84BB6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246B0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14D-8027-4192-85D2-17CC877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1921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2021-03-16T14:21:00Z</dcterms:created>
  <dcterms:modified xsi:type="dcterms:W3CDTF">2021-03-16T14:21:00Z</dcterms:modified>
</cp:coreProperties>
</file>