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FA6CB7" w:rsidRDefault="00CD5A4A" w:rsidP="00FB3328">
      <w:pPr>
        <w:jc w:val="center"/>
        <w:rPr>
          <w:rFonts w:eastAsia="Century Gothic"/>
          <w:lang w:val="fr-CA"/>
        </w:rPr>
      </w:pPr>
      <w:bookmarkStart w:id="0" w:name="_GoBack"/>
      <w:bookmarkEnd w:id="0"/>
      <w:r w:rsidRPr="00FA6CB7">
        <w:rPr>
          <w:rFonts w:eastAsia="Century Gothic"/>
          <w:lang w:val="fr-CA"/>
        </w:rPr>
        <w:t>Opinion pharmaceutique</w:t>
      </w:r>
      <w:r w:rsidR="00FB3328" w:rsidRPr="00FA6CB7">
        <w:rPr>
          <w:rFonts w:eastAsia="Century Gothic"/>
          <w:lang w:val="fr-CA"/>
        </w:rPr>
        <w:t xml:space="preserve"> : </w:t>
      </w:r>
      <w:r w:rsidR="00FB3328" w:rsidRPr="00FA6CB7">
        <w:rPr>
          <w:rFonts w:eastAsia="Century Gothic"/>
          <w:b/>
          <w:lang w:val="fr-CA"/>
        </w:rPr>
        <w:t xml:space="preserve">Interaction entre la Digoxine </w:t>
      </w:r>
      <w:r w:rsidRPr="00FA6CB7">
        <w:rPr>
          <w:rFonts w:eastAsia="Century Gothic"/>
          <w:b/>
          <w:lang w:val="fr-CA"/>
        </w:rPr>
        <w:t>et les antiviraux contre l’hépatite C</w:t>
      </w:r>
    </w:p>
    <w:p w:rsidR="00CD5A4A" w:rsidRPr="00FA6CB7" w:rsidRDefault="00CD5A4A" w:rsidP="00CD5A4A">
      <w:pPr>
        <w:jc w:val="center"/>
        <w:rPr>
          <w:rFonts w:eastAsia="Century Gothic"/>
          <w:lang w:val="fr-CA"/>
        </w:rPr>
      </w:pP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Patient(</w:t>
      </w:r>
      <w:r w:rsidR="00F57980" w:rsidRPr="00FA6CB7">
        <w:rPr>
          <w:rFonts w:eastAsia="Century Gothic"/>
          <w:lang w:val="fr-CA"/>
        </w:rPr>
        <w:t>e) : _________________________   DDN</w:t>
      </w:r>
      <w:r w:rsidRPr="00FA6CB7">
        <w:rPr>
          <w:rFonts w:eastAsia="Century Gothic"/>
          <w:lang w:val="fr-CA"/>
        </w:rPr>
        <w:t>_____/_____/_____</w:t>
      </w:r>
      <w:r w:rsidR="00F57980" w:rsidRPr="00FA6CB7">
        <w:rPr>
          <w:rFonts w:eastAsia="Century Gothic"/>
          <w:lang w:val="fr-CA"/>
        </w:rPr>
        <w:t xml:space="preserve">   #</w:t>
      </w:r>
      <w:r w:rsidRPr="00FA6CB7">
        <w:rPr>
          <w:rFonts w:eastAsia="Century Gothic"/>
          <w:lang w:val="fr-CA"/>
        </w:rPr>
        <w:t>Téléphone :</w:t>
      </w:r>
      <w:r w:rsidR="00F57980" w:rsidRPr="00FA6CB7">
        <w:rPr>
          <w:rFonts w:eastAsia="Century Gothic"/>
          <w:lang w:val="fr-CA"/>
        </w:rPr>
        <w:t xml:space="preserve"> </w:t>
      </w:r>
      <w:r w:rsidRPr="00FA6CB7">
        <w:rPr>
          <w:rFonts w:eastAsia="Century Gothic"/>
          <w:lang w:val="fr-CA"/>
        </w:rPr>
        <w:t>______________________</w:t>
      </w: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</w:p>
    <w:p w:rsidR="00CD5A4A" w:rsidRPr="00FA6CB7" w:rsidRDefault="00CD5A4A" w:rsidP="004D5532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Après avoir analysé le dossier de votre patient(e), j’ai relevé un problème relié à sa pharmacothérapie. </w:t>
      </w:r>
    </w:p>
    <w:p w:rsidR="00BE5D95" w:rsidRPr="005733C2" w:rsidRDefault="00C619C0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113030</wp:posOffset>
                </wp:positionV>
                <wp:extent cx="3333750" cy="334010"/>
                <wp:effectExtent l="0" t="0" r="38100" b="2794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0" cy="334010"/>
                          <a:chOff x="0" y="0"/>
                          <a:chExt cx="3051175" cy="342900"/>
                        </a:xfrm>
                      </wpg:grpSpPr>
                      <wps:wsp>
                        <wps:cNvPr id="9" name="Straight Connector 2"/>
                        <wps:cNvCnPr/>
                        <wps:spPr>
                          <a:xfrm>
                            <a:off x="6350" y="0"/>
                            <a:ext cx="304085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3"/>
                        <wps:cNvCnPr/>
                        <wps:spPr>
                          <a:xfrm>
                            <a:off x="12700" y="342900"/>
                            <a:ext cx="3038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Straight Connector 4"/>
                        <wps:cNvCnPr/>
                        <wps:spPr>
                          <a:xfrm flipV="1">
                            <a:off x="3048000" y="0"/>
                            <a:ext cx="1905" cy="342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Straight Connector 5"/>
                        <wps:cNvCnPr/>
                        <wps:spPr>
                          <a:xfrm flipV="1">
                            <a:off x="0" y="0"/>
                            <a:ext cx="2381" cy="3429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1pt;margin-top:8.9pt;width:262.5pt;height:26.3pt;z-index:251664384;mso-width-relative:margin;mso-height-relative:margin" coordsize="3051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">
                <v:line id="Straight Connector 2" o:spid="_x0000_s1027" style="position:absolute;visibility:visible;mso-wrap-style:square" from="63,0" to="304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piocIAAADaAAAADwAAAGRycy9kb3ducmV2LnhtbESPQYvCMBSE78L+h/AW9qbpiohWo8iC&#10;UKgg1t2Dt0fzbIrNS2midv+9EQSPw8x8wyzXvW3EjTpfO1bwPUpAEJdO11wp+D1uhzMQPiBrbByT&#10;gn/ysF59DJaYanfnA92KUIkIYZ+iAhNCm0rpS0MW/ci1xNE7u85iiLKrpO7wHuG2keMkmUqLNccF&#10;gy39GCovxdUq2O3zNjObP5azIp/np2m2s81Eqa/PfrMAEagP7/CrnWkFc3heiT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piocIAAADaAAAADwAAAAAAAAAAAAAA&#10;AAChAgAAZHJzL2Rvd25yZXYueG1sUEsFBgAAAAAEAAQA+QAAAJADAAAAAA==&#10;" strokecolor="#5b9bd5" strokeweight=".5pt">
                  <v:stroke joinstyle="miter"/>
                </v:line>
                <v:line id="Straight Connector 3" o:spid="_x0000_s1028" style="position:absolute;visibility:visible;mso-wrap-style:square" from="127,3429" to="3051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+f8QAAADbAAAADwAAAGRycy9kb3ducmV2LnhtbESPQWvCQBCF74X+h2UK3uqmRUSjq0ih&#10;EIhQjPbQ25Ads6HZ2ZDdavz3zqHgbYb35r1v1tvRd+pCQ2wDG3ibZqCI62Bbbgycjp+vC1AxIVvs&#10;ApOBG0XYbp6f1pjbcOUDXarUKAnhmKMBl1Kfax1rRx7jNPTEop3D4DHJOjTaDniVcN/p9yyba48t&#10;S4PDnj4c1b/Vnzew/yr7wu2+WS+qcln+zIu972bGTF7G3QpUojE9zP/XhRV8oZdfZAC9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D/5/xAAAANsAAAAPAAAAAAAAAAAA&#10;AAAAAKECAABkcnMvZG93bnJldi54bWxQSwUGAAAAAAQABAD5AAAAkgMAAAAA&#10;" strokecolor="#5b9bd5" strokeweight=".5pt">
                  <v:stroke joinstyle="miter"/>
                </v:line>
                <v:line id="Straight Connector 4" o:spid="_x0000_s1029" style="position:absolute;flip:y;visibility:visible;mso-wrap-style:square" from="30480,0" to="30499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hM9rwAAADbAAAADwAAAGRycy9kb3ducmV2LnhtbERPy6rCMBDdX/AfwgjurqmCItUoUhVc&#10;+kK3QzO2xWZSmtjWvzeC4G4O5zmLVWdK0VDtCssKRsMIBHFqdcGZgst59z8D4TyyxtIyKXiRg9Wy&#10;97fAWNuWj9ScfCZCCLsYFeTeV7GULs3JoBvaijhwd1sb9AHWmdQ1tiHclHIcRVNpsODQkGNFSU7p&#10;4/Q0CvCAzWZ7nEzbWycv7Utek6Q0Sg363XoOwlPnf+Kve6/D/BF8fgkHyOU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VhM9rwAAADbAAAADwAAAAAAAAAAAAAAAAChAgAA&#10;ZHJzL2Rvd25yZXYueG1sUEsFBgAAAAAEAAQA+QAAAIoDAAAAAA==&#10;" strokecolor="#5b9bd5" strokeweight=".5pt">
                  <v:stroke joinstyle="miter"/>
                </v:line>
                <v:line id="Straight Connector 5" o:spid="_x0000_s1030" style="position:absolute;flip:y;visibility:visible;mso-wrap-style:square" from="0,0" to="23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Sgb8AAADbAAAADwAAAGRycy9kb3ducmV2LnhtbERPTYvCMBC9C/6HMMLeNFVQpJoWqS54&#10;XLXodWjGtthMSpNt67/fLCzsbR7vc/bpaBrRU+dqywqWiwgEcWF1zaWC/PY534JwHlljY5kUvMlB&#10;mkwne4y1HfhC/dWXIoSwi1FB5X0bS+mKigy6hW2JA/e0nUEfYFdK3eEQwk0jV1G0kQZrDg0VtpRV&#10;VLyu30YBfmF/PF3Wm+Exynx4y3uWNUapj9l42IHwNPp/8Z/7rMP8Ffz+Eg6Qy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YrSgb8AAADbAAAADwAAAAAAAAAAAAAAAACh&#10;AgAAZHJzL2Rvd25yZXYueG1sUEsFBgAAAAAEAAQA+QAAAI0DAAAAAA==&#10;" strokecolor="#5b9bd5" strokeweight=".5pt">
                  <v:stroke joinstyle="miter"/>
                </v:line>
              </v:group>
            </w:pict>
          </mc:Fallback>
        </mc:AlternateContent>
      </w:r>
    </w:p>
    <w:p w:rsidR="00D05073" w:rsidRPr="00FB3328" w:rsidRDefault="00165992" w:rsidP="00FB3328">
      <w:pPr>
        <w:ind w:left="720"/>
        <w:jc w:val="center"/>
        <w:rPr>
          <w:color w:val="000000"/>
          <w:lang w:val="fr-CA"/>
        </w:rPr>
      </w:pPr>
      <w:r>
        <w:rPr>
          <w:b/>
          <w:lang w:val="fr-CA"/>
        </w:rPr>
        <w:t>Sofosbuvir / Velpatasvir / Voxilaprévir (Vosevi)</w:t>
      </w:r>
      <w:r w:rsidR="00744FF3" w:rsidRPr="00A644A5">
        <w:rPr>
          <w:color w:val="000000"/>
          <w:lang w:val="fr-CA"/>
        </w:rPr>
        <w:t xml:space="preserve"> </w:t>
      </w:r>
      <w:r w:rsidR="00744FF3" w:rsidRPr="00A644A5">
        <w:rPr>
          <w:color w:val="000000"/>
          <w:lang w:val="fr-CA"/>
        </w:rPr>
        <w:tab/>
      </w:r>
      <w:r w:rsidR="00744FF3">
        <w:rPr>
          <w:color w:val="000000"/>
          <w:lang w:val="fr-CA"/>
        </w:rPr>
        <w:t xml:space="preserve">         </w:t>
      </w:r>
      <w:r w:rsidR="00A32F36">
        <w:rPr>
          <w:color w:val="000000"/>
          <w:lang w:val="fr-CA"/>
        </w:rPr>
        <w:t xml:space="preserve"> </w:t>
      </w:r>
      <w:r w:rsidR="00B93894">
        <w:rPr>
          <w:color w:val="000000"/>
          <w:lang w:val="fr-CA"/>
        </w:rPr>
        <w:t xml:space="preserve">      </w:t>
      </w:r>
      <w:r w:rsidR="00A32F36">
        <w:rPr>
          <w:color w:val="000000"/>
          <w:lang w:val="fr-CA"/>
        </w:rPr>
        <w:t xml:space="preserve"> </w:t>
      </w:r>
      <w:r w:rsidR="00FB3328">
        <w:rPr>
          <w:color w:val="000000"/>
          <w:lang w:val="fr-CA"/>
        </w:rPr>
        <w:t>et</w:t>
      </w:r>
      <w:r w:rsidR="00744FF3">
        <w:rPr>
          <w:color w:val="000000"/>
          <w:lang w:val="fr-CA"/>
        </w:rPr>
        <w:t xml:space="preserve">          </w:t>
      </w:r>
      <w:r w:rsidR="005B70C4" w:rsidRPr="005B70C4">
        <w:rPr>
          <w:color w:val="000000"/>
          <w:lang w:val="fr-CA"/>
        </w:rPr>
        <w:t xml:space="preserve"> </w:t>
      </w:r>
      <w:r>
        <w:rPr>
          <w:rFonts w:ascii="MS Gothic" w:eastAsia="MS Gothic" w:hAnsi="MS Gothic" w:hint="eastAsia"/>
          <w:color w:val="000000"/>
          <w:lang w:val="fr-CA"/>
        </w:rPr>
        <w:t>☒</w:t>
      </w:r>
      <w:r w:rsidR="005B70C4" w:rsidRPr="003C6E8F">
        <w:rPr>
          <w:rFonts w:eastAsia="Century Gothic"/>
          <w:sz w:val="20"/>
          <w:lang w:val="fr-CA"/>
        </w:rPr>
        <w:t xml:space="preserve"> </w:t>
      </w:r>
      <w:r w:rsidR="00FB3328">
        <w:rPr>
          <w:rFonts w:eastAsia="Century Gothic"/>
          <w:lang w:val="fr-CA"/>
        </w:rPr>
        <w:t>Digoxine</w:t>
      </w:r>
      <w:r w:rsidR="005B70C4" w:rsidRPr="006322CD">
        <w:rPr>
          <w:rFonts w:eastAsia="Century Gothic"/>
          <w:lang w:val="fr-CA"/>
        </w:rPr>
        <w:t xml:space="preserve"> (</w:t>
      </w:r>
      <w:bookmarkStart w:id="1" w:name="aaa"/>
      <w:bookmarkEnd w:id="1"/>
      <w:r w:rsidR="00FB3328">
        <w:rPr>
          <w:rFonts w:eastAsia="Century Gothic"/>
          <w:lang w:val="fr-CA"/>
        </w:rPr>
        <w:t>Lanoxin)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596720" w:rsidRPr="00FA6CB7" w:rsidRDefault="00F57980" w:rsidP="00596720">
      <w:pPr>
        <w:spacing w:after="160" w:line="259" w:lineRule="auto"/>
        <w:jc w:val="both"/>
        <w:rPr>
          <w:rFonts w:eastAsia="Century Gothic"/>
          <w:b/>
          <w:color w:val="000000"/>
          <w:lang w:val="fr-CA"/>
        </w:rPr>
      </w:pPr>
      <w:r w:rsidRPr="00FA6CB7">
        <w:rPr>
          <w:rFonts w:eastAsia="Century Gothic"/>
          <w:b/>
          <w:color w:val="000000"/>
          <w:lang w:val="fr-CA"/>
        </w:rPr>
        <w:t xml:space="preserve">Mécanisme d’interaction : </w:t>
      </w:r>
      <w:r w:rsidR="00FB3328" w:rsidRPr="00FA6CB7">
        <w:rPr>
          <w:rFonts w:eastAsia="Century Gothic"/>
          <w:lang w:val="fr-CA"/>
        </w:rPr>
        <w:t>Une augmentation du risque d’effets indésirables de la digoxine peut survenir lors de l’administration concomitante avec les anti-VHC mentionnés ci-haut. L’élimination de la digoxine implique le</w:t>
      </w:r>
      <w:r w:rsidR="00C619C0">
        <w:rPr>
          <w:rFonts w:eastAsia="Century Gothic"/>
          <w:lang w:val="fr-CA"/>
        </w:rPr>
        <w:t xml:space="preserve"> transorteur P-gp qui est inhib</w:t>
      </w:r>
      <w:r w:rsidR="00FB3328" w:rsidRPr="00FA6CB7">
        <w:rPr>
          <w:rFonts w:eastAsia="Century Gothic"/>
          <w:lang w:val="fr-CA"/>
        </w:rPr>
        <w:t>é par certains anti-VHC.</w:t>
      </w:r>
      <w:r w:rsidR="00596720" w:rsidRPr="00FA6CB7">
        <w:rPr>
          <w:rFonts w:eastAsia="Century Gothic"/>
          <w:b/>
          <w:color w:val="000000"/>
          <w:lang w:val="fr-CA"/>
        </w:rPr>
        <w:t xml:space="preserve"> </w:t>
      </w:r>
    </w:p>
    <w:p w:rsidR="00165992" w:rsidRPr="00165992" w:rsidRDefault="00165992" w:rsidP="00735E6F">
      <w:pPr>
        <w:jc w:val="center"/>
        <w:rPr>
          <w:rFonts w:eastAsia="Century Gothic"/>
          <w:i/>
          <w:sz w:val="24"/>
          <w:lang w:val="fr-CA"/>
        </w:rPr>
      </w:pPr>
      <w:bookmarkStart w:id="2" w:name="bmAutoText1"/>
      <w:r w:rsidRPr="00C619C0">
        <w:rPr>
          <w:rFonts w:eastAsia="Century Gothic"/>
          <w:b/>
          <w:bCs/>
          <w:i/>
          <w:lang w:val="fr-CA"/>
        </w:rPr>
        <w:t>Sofosbuvir / Velpatasvir / Voxilaprévir (Vosevi) et</w:t>
      </w:r>
      <w:r w:rsidRPr="00165992">
        <w:rPr>
          <w:rFonts w:eastAsia="Century Gothic"/>
          <w:b/>
          <w:bCs/>
          <w:i/>
          <w:lang w:val="fr-CA"/>
        </w:rPr>
        <w:t xml:space="preserve"> Digoxine</w:t>
      </w:r>
      <w:r w:rsidRPr="00165992">
        <w:rPr>
          <w:rFonts w:eastAsia="Century Gothic"/>
          <w:i/>
          <w:lang w:val="fr-CA"/>
        </w:rPr>
        <w:t> </w:t>
      </w:r>
      <w:r w:rsidRPr="00165992">
        <w:rPr>
          <w:rFonts w:eastAsia="Century Gothic"/>
          <w:b/>
          <w:i/>
          <w:lang w:val="fr-CA"/>
        </w:rPr>
        <w:t xml:space="preserve">: </w:t>
      </w:r>
    </w:p>
    <w:p w:rsidR="00165992" w:rsidRPr="00165992" w:rsidRDefault="00165992" w:rsidP="00735E6F">
      <w:pPr>
        <w:rPr>
          <w:rFonts w:eastAsia="Century Gothic"/>
          <w:lang w:val="fr-CA"/>
        </w:rPr>
      </w:pPr>
    </w:p>
    <w:p w:rsidR="00165992" w:rsidRPr="00165992" w:rsidRDefault="00165992" w:rsidP="00735E6F">
      <w:pPr>
        <w:rPr>
          <w:rFonts w:eastAsia="Century Gothic"/>
          <w:u w:val="single"/>
          <w:lang w:val="fr-CA"/>
        </w:rPr>
      </w:pPr>
      <w:r w:rsidRPr="00165992">
        <w:rPr>
          <w:rFonts w:eastAsia="Century Gothic"/>
          <w:u w:val="single"/>
          <w:lang w:val="fr-CA"/>
        </w:rPr>
        <w:t>Information supplémentaire :</w:t>
      </w:r>
    </w:p>
    <w:p w:rsidR="00165992" w:rsidRPr="00165992" w:rsidRDefault="00165992" w:rsidP="00735E6F">
      <w:pPr>
        <w:rPr>
          <w:rFonts w:eastAsia="Century Gothic"/>
          <w:bCs/>
          <w:lang w:val="fr-CA"/>
        </w:rPr>
      </w:pPr>
      <w:r w:rsidRPr="00165992">
        <w:rPr>
          <w:rFonts w:eastAsia="Century Gothic"/>
          <w:lang w:val="fr-CA"/>
        </w:rPr>
        <w:t xml:space="preserve">Digoxine 0,25 mg dose unique + velpatasvir 100 mg QD (21 sujets sains) : </w:t>
      </w:r>
      <w:r w:rsidRPr="00165992">
        <w:rPr>
          <w:rFonts w:eastAsia="Century Gothic"/>
          <w:color w:val="000000"/>
          <w:lang w:val="fr-CA"/>
        </w:rPr>
        <w:t xml:space="preserve">↑ </w:t>
      </w:r>
      <w:r w:rsidRPr="00165992">
        <w:rPr>
          <w:rFonts w:eastAsia="Century Gothic"/>
          <w:lang w:val="fr-CA"/>
        </w:rPr>
        <w:t xml:space="preserve">SCC de 34% (Digoxine), </w:t>
      </w:r>
      <w:r>
        <w:rPr>
          <w:rFonts w:eastAsia="Century Gothic"/>
          <w:lang w:val="fr-CA"/>
        </w:rPr>
        <w:br/>
      </w:r>
      <w:r w:rsidRPr="00165992">
        <w:rPr>
          <w:rFonts w:eastAsia="Century Gothic"/>
          <w:color w:val="000000"/>
          <w:lang w:val="fr-CA"/>
        </w:rPr>
        <w:t xml:space="preserve">↑ </w:t>
      </w:r>
      <w:r w:rsidRPr="00165992">
        <w:rPr>
          <w:rFonts w:eastAsia="Century Gothic"/>
          <w:lang w:val="fr-CA"/>
        </w:rPr>
        <w:t xml:space="preserve">Cmax de 88% (Digoxine). </w:t>
      </w:r>
      <w:r w:rsidRPr="00165992">
        <w:rPr>
          <w:rFonts w:eastAsia="Century Gothic"/>
          <w:bCs/>
          <w:lang w:val="fr-CA"/>
        </w:rPr>
        <w:t>La monographie recommande d’utiliser cette association avec prudence.</w:t>
      </w:r>
    </w:p>
    <w:p w:rsidR="00165992" w:rsidRPr="00735E6F" w:rsidRDefault="00165992" w:rsidP="00735E6F">
      <w:pPr>
        <w:rPr>
          <w:rFonts w:eastAsia="Century Gothic"/>
          <w:rtl/>
        </w:rPr>
      </w:pPr>
    </w:p>
    <w:p w:rsidR="00165992" w:rsidRPr="00165992" w:rsidRDefault="00165992" w:rsidP="00735E6F">
      <w:pPr>
        <w:rPr>
          <w:rFonts w:eastAsia="Century Gothic"/>
          <w:lang w:val="fr-CA"/>
        </w:rPr>
      </w:pPr>
      <w:r w:rsidRPr="00165992">
        <w:rPr>
          <w:rFonts w:eastAsia="Century Gothic"/>
          <w:u w:val="single"/>
          <w:lang w:val="fr-CA"/>
        </w:rPr>
        <w:t>Options thérapeutiques possibles (Digoxine) :</w:t>
      </w:r>
      <w:r w:rsidRPr="00165992">
        <w:rPr>
          <w:rFonts w:eastAsia="Century Gothic"/>
          <w:lang w:val="fr-CA"/>
        </w:rPr>
        <w:t xml:space="preserve">    </w:t>
      </w:r>
    </w:p>
    <w:p w:rsidR="00165992" w:rsidRPr="00165992" w:rsidRDefault="00165992" w:rsidP="00735E6F">
      <w:pPr>
        <w:rPr>
          <w:rFonts w:eastAsia="Century Gothic"/>
          <w:i/>
          <w:lang w:val="fr-CA"/>
        </w:rPr>
      </w:pPr>
      <w:r w:rsidRPr="00165992">
        <w:rPr>
          <w:rFonts w:eastAsia="Century Gothic"/>
          <w:i/>
          <w:lang w:val="fr-CA"/>
        </w:rPr>
        <w:t>Si la digoxine est ajoutée à une thérapie anti-VHC déjà existante.</w:t>
      </w:r>
    </w:p>
    <w:p w:rsidR="00165992" w:rsidRPr="00165992" w:rsidRDefault="00165992" w:rsidP="0016599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fr-CA"/>
        </w:rPr>
      </w:pPr>
      <w:r w:rsidRPr="00165992">
        <w:rPr>
          <w:rFonts w:eastAsia="Century Gothic"/>
          <w:lang w:val="fr-CA"/>
        </w:rPr>
        <w:t>Si l’association est nécessaire, d</w:t>
      </w:r>
      <w:r w:rsidRPr="00165992">
        <w:rPr>
          <w:rFonts w:eastAsia="Century Gothic"/>
          <w:color w:val="000000"/>
          <w:lang w:val="fr-CA"/>
        </w:rPr>
        <w:t xml:space="preserve">ébuter la digoxine </w:t>
      </w:r>
      <w:r w:rsidRPr="00165992">
        <w:rPr>
          <w:rFonts w:eastAsia="Century Gothic"/>
          <w:lang w:val="fr-CA"/>
        </w:rPr>
        <w:t xml:space="preserve">avec une petite dose </w:t>
      </w:r>
      <w:r w:rsidRPr="00165992">
        <w:rPr>
          <w:rFonts w:eastAsia="Century Gothic"/>
          <w:color w:val="000000"/>
          <w:lang w:val="fr-CA"/>
        </w:rPr>
        <w:t>puis augmenter graduellement selon l</w:t>
      </w:r>
      <w:r w:rsidRPr="00165992">
        <w:rPr>
          <w:rFonts w:eastAsia="Century Gothic"/>
          <w:lang w:val="fr-CA"/>
        </w:rPr>
        <w:t>’</w:t>
      </w:r>
      <w:r w:rsidRPr="00165992">
        <w:rPr>
          <w:rFonts w:eastAsia="Century Gothic"/>
          <w:color w:val="000000"/>
          <w:lang w:val="fr-CA"/>
        </w:rPr>
        <w:t>efficacité et la tolérance.</w:t>
      </w:r>
    </w:p>
    <w:p w:rsidR="00165992" w:rsidRPr="00165992" w:rsidRDefault="00165992" w:rsidP="00735E6F">
      <w:pPr>
        <w:ind w:left="360"/>
        <w:rPr>
          <w:rFonts w:eastAsia="Century Gothic"/>
          <w:lang w:val="fr-CA"/>
        </w:rPr>
      </w:pPr>
    </w:p>
    <w:p w:rsidR="00165992" w:rsidRPr="00165992" w:rsidRDefault="00165992" w:rsidP="00735E6F">
      <w:pPr>
        <w:rPr>
          <w:rFonts w:eastAsia="Century Gothic"/>
          <w:i/>
          <w:lang w:val="fr-CA"/>
        </w:rPr>
      </w:pPr>
      <w:r w:rsidRPr="00165992">
        <w:rPr>
          <w:rFonts w:eastAsia="Century Gothic"/>
          <w:i/>
          <w:lang w:val="fr-CA"/>
        </w:rPr>
        <w:t>Si le patient est déjà sous digoxine et que la thérapie anti-VHC est débutée.</w:t>
      </w:r>
    </w:p>
    <w:p w:rsidR="00165992" w:rsidRPr="00165992" w:rsidRDefault="00165992" w:rsidP="00735E6F">
      <w:pPr>
        <w:pStyle w:val="Paragraphedeliste"/>
        <w:numPr>
          <w:ilvl w:val="0"/>
          <w:numId w:val="2"/>
        </w:numPr>
        <w:rPr>
          <w:rFonts w:eastAsia="Century Gothic"/>
          <w:lang w:val="fr-CA"/>
        </w:rPr>
      </w:pPr>
      <w:r w:rsidRPr="009F6D25">
        <w:rPr>
          <w:rFonts w:eastAsia="Century Gothic"/>
          <w:lang w:val="fr-CA"/>
        </w:rPr>
        <w:t>Si l’association est nécessaire, diminuer la dose actuelle de digoxine puis augmenter graduellement la dose selon la digoxinémie, l’efficacité et la tolérance.</w:t>
      </w:r>
    </w:p>
    <w:p w:rsidR="00165992" w:rsidRPr="00165992" w:rsidRDefault="00165992" w:rsidP="00735E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entury Gothic"/>
          <w:lang w:val="fr-CA"/>
        </w:rPr>
      </w:pPr>
      <w:r w:rsidRPr="00165992">
        <w:rPr>
          <w:rFonts w:eastAsia="Century Gothic"/>
          <w:lang w:val="fr-CA"/>
        </w:rPr>
        <w:t>Conserver la dose actuelle et exercer un suivi étroit des effets indésirables.</w:t>
      </w:r>
    </w:p>
    <w:p w:rsidR="00165992" w:rsidRPr="00165992" w:rsidRDefault="00165992" w:rsidP="00735E6F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entury Gothic"/>
          <w:lang w:val="fr-CA"/>
        </w:rPr>
      </w:pPr>
    </w:p>
    <w:p w:rsidR="00165992" w:rsidRPr="00165992" w:rsidRDefault="00165992" w:rsidP="00735E6F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entury Gothic"/>
          <w:i/>
          <w:lang w:val="fr-CA"/>
        </w:rPr>
      </w:pPr>
      <w:r w:rsidRPr="00165992">
        <w:rPr>
          <w:rFonts w:eastAsia="Century Gothic"/>
          <w:i/>
          <w:lang w:val="fr-CA"/>
        </w:rPr>
        <w:t>Patient actuellement sous traitement avec cette association et la tolérant.</w:t>
      </w:r>
    </w:p>
    <w:p w:rsidR="00165992" w:rsidRPr="00165992" w:rsidRDefault="00165992" w:rsidP="00165992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4C694E">
        <w:rPr>
          <w:rFonts w:eastAsia="Century Gothic"/>
          <w:lang w:val="fr-CA"/>
        </w:rPr>
        <w:t>Conserver cette combinaison et exercer un suivi étroit des effets indésirables pouvant survenir.</w:t>
      </w:r>
    </w:p>
    <w:p w:rsidR="00165992" w:rsidRPr="00165992" w:rsidRDefault="00165992" w:rsidP="00165992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4C694E">
        <w:rPr>
          <w:rFonts w:eastAsia="Century Gothic"/>
          <w:lang w:val="fr-CA"/>
        </w:rPr>
        <w:t>Faire une digoxinémie de contrôle.</w:t>
      </w:r>
    </w:p>
    <w:p w:rsidR="00165992" w:rsidRDefault="00165992" w:rsidP="00735E6F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4C694E">
        <w:rPr>
          <w:rFonts w:eastAsia="Century Gothic"/>
          <w:lang w:val="fr-CA"/>
        </w:rPr>
        <w:t>Un ECG de contrôle pourrait</w:t>
      </w:r>
      <w:r>
        <w:rPr>
          <w:rFonts w:eastAsia="Century Gothic"/>
          <w:lang w:val="fr-CA"/>
        </w:rPr>
        <w:t xml:space="preserve"> </w:t>
      </w:r>
      <w:r w:rsidRPr="004C694E">
        <w:rPr>
          <w:rFonts w:eastAsia="Century Gothic"/>
          <w:lang w:val="fr-CA"/>
        </w:rPr>
        <w:t>être fait, particulièrement chez les patients possédant un risque d’allongement de l’intervalle QT.  S'assurer de corriger les désordres électrolytiques.</w:t>
      </w:r>
    </w:p>
    <w:p w:rsidR="00165992" w:rsidRPr="00165992" w:rsidRDefault="00165992" w:rsidP="00735E6F">
      <w:pPr>
        <w:rPr>
          <w:rFonts w:eastAsia="Century Gothic"/>
          <w:lang w:val="fr-CA"/>
        </w:rPr>
      </w:pPr>
    </w:p>
    <w:p w:rsidR="00165992" w:rsidRDefault="00165992" w:rsidP="00735E6F">
      <w:pPr>
        <w:rPr>
          <w:rFonts w:eastAsia="Century Gothic"/>
        </w:rPr>
      </w:pPr>
      <w:r w:rsidRPr="00FB3328">
        <w:rPr>
          <w:rFonts w:eastAsia="Century Gothic"/>
          <w:b/>
        </w:rPr>
        <w:t>Posologie suggérée</w:t>
      </w:r>
      <w:r w:rsidRPr="008172E3">
        <w:rPr>
          <w:rFonts w:eastAsia="Century Gothic"/>
        </w:rPr>
        <w:t>:</w:t>
      </w:r>
      <w:r>
        <w:rPr>
          <w:rFonts w:eastAsia="Century Gothic"/>
        </w:rPr>
        <w:t xml:space="preserve"> </w:t>
      </w:r>
      <w:r w:rsidRPr="008172E3">
        <w:rPr>
          <w:rFonts w:eastAsia="Century Gothic"/>
        </w:rPr>
        <w:t>________________________________________________________</w:t>
      </w:r>
      <w:r>
        <w:rPr>
          <w:rFonts w:eastAsia="Century Gothic"/>
        </w:rPr>
        <w:t>__</w:t>
      </w:r>
      <w:r w:rsidRPr="008172E3">
        <w:rPr>
          <w:rFonts w:eastAsia="Century Gothic"/>
        </w:rPr>
        <w:t>______ REN :</w:t>
      </w:r>
      <w:r>
        <w:rPr>
          <w:rFonts w:eastAsia="Century Gothic"/>
        </w:rPr>
        <w:t xml:space="preserve"> </w:t>
      </w:r>
      <w:r w:rsidRPr="008172E3">
        <w:rPr>
          <w:rFonts w:eastAsia="Century Gothic"/>
        </w:rPr>
        <w:t>_______</w:t>
      </w:r>
    </w:p>
    <w:p w:rsidR="00165992" w:rsidRPr="004C694E" w:rsidRDefault="00165992" w:rsidP="00735E6F">
      <w:pPr>
        <w:rPr>
          <w:rFonts w:eastAsia="Century Gothic"/>
        </w:rPr>
      </w:pPr>
    </w:p>
    <w:p w:rsidR="00165992" w:rsidRDefault="00165992" w:rsidP="00C619C0">
      <w:pPr>
        <w:pStyle w:val="Paragraphedeliste"/>
        <w:numPr>
          <w:ilvl w:val="0"/>
          <w:numId w:val="1"/>
        </w:numPr>
        <w:ind w:left="284" w:hanging="284"/>
        <w:jc w:val="both"/>
        <w:rPr>
          <w:rFonts w:eastAsia="Century Gothic"/>
        </w:rPr>
      </w:pPr>
      <w:r>
        <w:rPr>
          <w:rFonts w:eastAsia="Century Gothic"/>
        </w:rPr>
        <w:t>Autre :_____________________________</w:t>
      </w:r>
      <w:r w:rsidR="00C619C0">
        <w:rPr>
          <w:rFonts w:eastAsia="Century Gothic"/>
        </w:rPr>
        <w:t>_______________________________</w:t>
      </w:r>
      <w:r>
        <w:rPr>
          <w:rFonts w:eastAsia="Century Gothic"/>
        </w:rPr>
        <w:t>_______________ REN : _______</w:t>
      </w:r>
    </w:p>
    <w:bookmarkEnd w:id="2"/>
    <w:p w:rsidR="00596720" w:rsidRPr="00B93894" w:rsidRDefault="00596720" w:rsidP="00596720">
      <w:pPr>
        <w:spacing w:after="160" w:line="259" w:lineRule="auto"/>
        <w:jc w:val="both"/>
        <w:rPr>
          <w:rFonts w:eastAsia="Century Gothic"/>
          <w:b/>
          <w:color w:val="000000"/>
          <w:lang w:val="fr-CA"/>
        </w:rPr>
      </w:pPr>
    </w:p>
    <w:p w:rsidR="00FB3328" w:rsidRPr="00FA6CB7" w:rsidRDefault="0071460A" w:rsidP="00596720">
      <w:pPr>
        <w:spacing w:after="160" w:line="259" w:lineRule="auto"/>
        <w:jc w:val="both"/>
        <w:rPr>
          <w:rFonts w:eastAsia="Century Gothic"/>
          <w:b/>
          <w:color w:val="000000"/>
          <w:lang w:val="fr-CA"/>
        </w:rPr>
      </w:pPr>
      <w:r w:rsidRPr="00FA6CB7">
        <w:rPr>
          <w:rFonts w:eastAsia="Century Gothic"/>
          <w:b/>
          <w:lang w:val="fr-CA"/>
        </w:rPr>
        <w:t xml:space="preserve">Suivi : </w:t>
      </w:r>
      <w:r w:rsidR="00FB3328" w:rsidRPr="00FA6CB7">
        <w:rPr>
          <w:rFonts w:eastAsia="Century Gothic"/>
          <w:lang w:val="fr-CA"/>
        </w:rPr>
        <w:t>Surveiller les effets indésirables de la digoxine et effectuer une digoxinémie de suivi. Selon le jugement du clinicien, un E</w:t>
      </w:r>
      <w:r w:rsidR="00E01BA6" w:rsidRPr="00FA6CB7">
        <w:rPr>
          <w:rFonts w:eastAsia="Century Gothic"/>
          <w:lang w:val="fr-CA"/>
        </w:rPr>
        <w:t>CG et un bilan</w:t>
      </w:r>
      <w:r w:rsidR="00FB3328" w:rsidRPr="00FA6CB7">
        <w:rPr>
          <w:rFonts w:eastAsia="Century Gothic"/>
          <w:lang w:val="fr-CA"/>
        </w:rPr>
        <w:t xml:space="preserve"> électrolytique</w:t>
      </w:r>
      <w:r w:rsidR="00B4698E" w:rsidRPr="00FA6CB7">
        <w:rPr>
          <w:rFonts w:eastAsia="Century Gothic"/>
          <w:lang w:val="fr-CA"/>
        </w:rPr>
        <w:t xml:space="preserve"> pourraient être fait</w:t>
      </w:r>
      <w:r w:rsidR="00FB3328" w:rsidRPr="00FA6CB7">
        <w:rPr>
          <w:rFonts w:eastAsia="Century Gothic"/>
          <w:lang w:val="fr-CA"/>
        </w:rPr>
        <w:t>.</w:t>
      </w:r>
    </w:p>
    <w:p w:rsidR="00173AEA" w:rsidRDefault="00173AEA" w:rsidP="00290CB0">
      <w:pPr>
        <w:rPr>
          <w:rFonts w:eastAsia="Century Gothic"/>
        </w:rPr>
      </w:pPr>
      <w:r w:rsidRPr="00FA6CB7">
        <w:rPr>
          <w:rFonts w:eastAsia="Century Gothic"/>
          <w:lang w:val="fr-CA"/>
        </w:rPr>
        <w:t xml:space="preserve">N’hésitez pas à communiquer avec nous pour de l’information supplémentaire. </w:t>
      </w:r>
      <w:r w:rsidRPr="00FA6CB7">
        <w:rPr>
          <w:rFonts w:eastAsia="Century Gothic"/>
          <w:lang w:val="fr-CA"/>
        </w:rPr>
        <w:br/>
      </w:r>
      <w:r>
        <w:rPr>
          <w:rFonts w:eastAsia="Century Gothic"/>
        </w:rPr>
        <w:t>En toute collaboration,</w:t>
      </w:r>
    </w:p>
    <w:p w:rsidR="00FA6CB7" w:rsidRPr="00C619C0" w:rsidRDefault="00173AEA" w:rsidP="00C619C0">
      <w:pPr>
        <w:ind w:left="1440"/>
        <w:jc w:val="both"/>
        <w:rPr>
          <w:rFonts w:eastAsia="Century Gothic"/>
        </w:rPr>
      </w:pPr>
      <w:r>
        <w:rPr>
          <w:rFonts w:eastAsia="Century Gothic"/>
        </w:rPr>
        <w:t>Pharmacie(ne) :</w:t>
      </w:r>
      <w:r w:rsidR="00165992">
        <w:rPr>
          <w:rFonts w:eastAsia="Century Gothic"/>
        </w:rPr>
        <w:t xml:space="preserve"> </w:t>
      </w:r>
      <w:r>
        <w:rPr>
          <w:rFonts w:eastAsia="Century Gothic"/>
        </w:rPr>
        <w:t>_________________________</w:t>
      </w:r>
      <w:r w:rsidR="00C619C0">
        <w:rPr>
          <w:rFonts w:eastAsia="Century Gothic"/>
        </w:rPr>
        <w:br/>
      </w:r>
      <w:r w:rsidR="00C619C0" w:rsidRPr="00C619C0">
        <w:rPr>
          <w:rFonts w:eastAsia="Century Gothic"/>
          <w:sz w:val="10"/>
          <w:szCs w:val="10"/>
        </w:rPr>
        <w:br/>
      </w:r>
      <w:r>
        <w:rPr>
          <w:rFonts w:eastAsia="Century Gothic"/>
          <w:color w:val="000000"/>
        </w:rPr>
        <w:t>#Téléphone :</w:t>
      </w:r>
      <w:r w:rsidR="00165992">
        <w:rPr>
          <w:rFonts w:eastAsia="Century Gothic"/>
          <w:color w:val="000000"/>
        </w:rPr>
        <w:t xml:space="preserve"> ___________________</w:t>
      </w:r>
      <w:r>
        <w:rPr>
          <w:rFonts w:eastAsia="Century Gothic"/>
          <w:color w:val="000000"/>
        </w:rPr>
        <w:t>___#Télécopieur :</w:t>
      </w:r>
      <w:r w:rsidR="00165992">
        <w:rPr>
          <w:rFonts w:eastAsia="Century Gothic"/>
          <w:color w:val="000000"/>
        </w:rPr>
        <w:t xml:space="preserve"> </w:t>
      </w:r>
      <w:r>
        <w:rPr>
          <w:rFonts w:eastAsia="Century Gothic"/>
          <w:color w:val="000000"/>
        </w:rPr>
        <w:t>______________________</w:t>
      </w:r>
    </w:p>
    <w:p w:rsidR="00290CB0" w:rsidRPr="00FA6CB7" w:rsidRDefault="00290CB0" w:rsidP="00FA6CB7">
      <w:pPr>
        <w:ind w:left="2160" w:firstLine="720"/>
        <w:jc w:val="both"/>
        <w:rPr>
          <w:rFonts w:eastAsia="Century Gothic"/>
          <w:color w:val="000000"/>
        </w:rPr>
      </w:pPr>
    </w:p>
    <w:p w:rsidR="009F6D25" w:rsidRPr="00751E2D" w:rsidRDefault="00C619C0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B7" w:rsidRPr="00B648D8" w:rsidRDefault="00596720" w:rsidP="00596720">
                            <w:pPr>
                              <w:rPr>
                                <w:color w:val="000000"/>
                                <w:lang w:val="fr-CA"/>
                              </w:rPr>
                            </w:pPr>
                            <w:r w:rsidRPr="00B648D8">
                              <w:rPr>
                                <w:color w:val="000000"/>
                                <w:lang w:val="fr-CA"/>
                              </w:rPr>
                              <w:t xml:space="preserve">A titre d’ordonnance, dater et signer : </w:t>
                            </w:r>
                          </w:p>
                          <w:p w:rsidR="00173AEA" w:rsidRPr="00B648D8" w:rsidRDefault="00173AEA" w:rsidP="00290CB0">
                            <w:r w:rsidRPr="00B648D8">
                              <w:t xml:space="preserve">Date : _____/_____/_____ </w:t>
                            </w:r>
                            <w:r w:rsidR="00290CB0" w:rsidRPr="00B648D8">
                              <w:t xml:space="preserve"> </w:t>
                            </w:r>
                            <w:r w:rsidR="00290CB0" w:rsidRPr="00B648D8">
                              <w:tab/>
                            </w:r>
                            <w:r w:rsidR="00290CB0" w:rsidRPr="00B648D8">
                              <w:tab/>
                            </w:r>
                            <w:r w:rsidRPr="00B648D8">
                              <w:t xml:space="preserve">Signature </w:t>
                            </w:r>
                            <w:r w:rsidR="00596720" w:rsidRPr="00B648D8">
                              <w:t>et licence :</w:t>
                            </w:r>
                            <w:r w:rsidR="00290CB0" w:rsidRPr="00B648D8">
                              <w:t xml:space="preserve"> </w:t>
                            </w:r>
                            <w:r w:rsidR="00596720" w:rsidRPr="00B648D8">
                              <w:t>_____________</w:t>
                            </w:r>
                            <w:r w:rsidR="00FA6CB7" w:rsidRPr="00B648D8">
                              <w:t>_____</w:t>
                            </w:r>
                            <w:r w:rsidR="00290CB0" w:rsidRPr="00B648D8">
                              <w:t>______________________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FA6CB7" w:rsidRPr="00B648D8" w:rsidRDefault="00596720" w:rsidP="00596720">
                      <w:pPr>
                        <w:rPr>
                          <w:color w:val="000000"/>
                          <w:lang w:val="fr-CA"/>
                        </w:rPr>
                      </w:pPr>
                      <w:r w:rsidRPr="00B648D8">
                        <w:rPr>
                          <w:color w:val="000000"/>
                          <w:lang w:val="fr-CA"/>
                        </w:rPr>
                        <w:t xml:space="preserve">A titre d’ordonnance, dater et signer : </w:t>
                      </w:r>
                    </w:p>
                    <w:p w:rsidR="00173AEA" w:rsidRPr="00B648D8" w:rsidRDefault="00173AEA" w:rsidP="00290CB0">
                      <w:r w:rsidRPr="00B648D8">
                        <w:t xml:space="preserve">Date : _____/_____/_____ </w:t>
                      </w:r>
                      <w:r w:rsidR="00290CB0" w:rsidRPr="00B648D8">
                        <w:t xml:space="preserve"> </w:t>
                      </w:r>
                      <w:r w:rsidR="00290CB0" w:rsidRPr="00B648D8">
                        <w:tab/>
                      </w:r>
                      <w:r w:rsidR="00290CB0" w:rsidRPr="00B648D8">
                        <w:tab/>
                      </w:r>
                      <w:r w:rsidRPr="00B648D8">
                        <w:t xml:space="preserve">Signature </w:t>
                      </w:r>
                      <w:r w:rsidR="00596720" w:rsidRPr="00B648D8">
                        <w:t>et licence :</w:t>
                      </w:r>
                      <w:r w:rsidR="00290CB0" w:rsidRPr="00B648D8">
                        <w:t xml:space="preserve"> </w:t>
                      </w:r>
                      <w:r w:rsidR="00596720" w:rsidRPr="00B648D8">
                        <w:t>_____________</w:t>
                      </w:r>
                      <w:r w:rsidR="00FA6CB7" w:rsidRPr="00B648D8">
                        <w:t>_____</w:t>
                      </w:r>
                      <w:r w:rsidR="00290CB0" w:rsidRPr="00B648D8">
                        <w:t>______________________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C0" w:rsidRDefault="002B43C0" w:rsidP="00CD5A4A">
      <w:r>
        <w:separator/>
      </w:r>
    </w:p>
  </w:endnote>
  <w:endnote w:type="continuationSeparator" w:id="0">
    <w:p w:rsidR="002B43C0" w:rsidRDefault="002B43C0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102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="006B3010">
      <w:rPr>
        <w:lang w:val="fr-CA"/>
      </w:rPr>
      <w:t>Mars 2021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C0" w:rsidRDefault="002B43C0" w:rsidP="00CD5A4A">
      <w:r>
        <w:separator/>
      </w:r>
    </w:p>
  </w:footnote>
  <w:footnote w:type="continuationSeparator" w:id="0">
    <w:p w:rsidR="002B43C0" w:rsidRDefault="002B43C0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B43C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B43C0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B0"/>
    <w:rsid w:val="00031B40"/>
    <w:rsid w:val="00055216"/>
    <w:rsid w:val="0005559A"/>
    <w:rsid w:val="00056710"/>
    <w:rsid w:val="000608A4"/>
    <w:rsid w:val="0006785D"/>
    <w:rsid w:val="00075017"/>
    <w:rsid w:val="000778AF"/>
    <w:rsid w:val="00094ACE"/>
    <w:rsid w:val="000C1844"/>
    <w:rsid w:val="0010058A"/>
    <w:rsid w:val="001448D8"/>
    <w:rsid w:val="00144C55"/>
    <w:rsid w:val="00145F1B"/>
    <w:rsid w:val="00147799"/>
    <w:rsid w:val="0016597E"/>
    <w:rsid w:val="00165992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200B48"/>
    <w:rsid w:val="002128AF"/>
    <w:rsid w:val="002264DF"/>
    <w:rsid w:val="00261691"/>
    <w:rsid w:val="00290CB0"/>
    <w:rsid w:val="002A76EB"/>
    <w:rsid w:val="002B43C0"/>
    <w:rsid w:val="002B671D"/>
    <w:rsid w:val="002E51C3"/>
    <w:rsid w:val="002F6838"/>
    <w:rsid w:val="0030271F"/>
    <w:rsid w:val="00310298"/>
    <w:rsid w:val="0039680A"/>
    <w:rsid w:val="003A2EBB"/>
    <w:rsid w:val="003C6E8F"/>
    <w:rsid w:val="003D7BCD"/>
    <w:rsid w:val="004066E9"/>
    <w:rsid w:val="00427BE2"/>
    <w:rsid w:val="00442536"/>
    <w:rsid w:val="0044508D"/>
    <w:rsid w:val="00446286"/>
    <w:rsid w:val="00467422"/>
    <w:rsid w:val="00497C72"/>
    <w:rsid w:val="004D5532"/>
    <w:rsid w:val="00533604"/>
    <w:rsid w:val="00547DB4"/>
    <w:rsid w:val="005733C2"/>
    <w:rsid w:val="00596720"/>
    <w:rsid w:val="005B70C4"/>
    <w:rsid w:val="005B7D5C"/>
    <w:rsid w:val="005C1951"/>
    <w:rsid w:val="00602BFA"/>
    <w:rsid w:val="00602E97"/>
    <w:rsid w:val="00612E24"/>
    <w:rsid w:val="006322CD"/>
    <w:rsid w:val="00661EF0"/>
    <w:rsid w:val="006644BE"/>
    <w:rsid w:val="00677AB8"/>
    <w:rsid w:val="006A74B9"/>
    <w:rsid w:val="006B2F22"/>
    <w:rsid w:val="006B3010"/>
    <w:rsid w:val="006C6371"/>
    <w:rsid w:val="006E1A02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77EBA"/>
    <w:rsid w:val="007966D6"/>
    <w:rsid w:val="00800BC3"/>
    <w:rsid w:val="00843D3C"/>
    <w:rsid w:val="008607B8"/>
    <w:rsid w:val="00863E63"/>
    <w:rsid w:val="008A5DD3"/>
    <w:rsid w:val="008B019C"/>
    <w:rsid w:val="008C3534"/>
    <w:rsid w:val="008D37E0"/>
    <w:rsid w:val="00917F91"/>
    <w:rsid w:val="00922813"/>
    <w:rsid w:val="0092554F"/>
    <w:rsid w:val="00937E39"/>
    <w:rsid w:val="009612DA"/>
    <w:rsid w:val="00961E4E"/>
    <w:rsid w:val="00973CB7"/>
    <w:rsid w:val="009C0A92"/>
    <w:rsid w:val="009F6D25"/>
    <w:rsid w:val="00A05294"/>
    <w:rsid w:val="00A15B2C"/>
    <w:rsid w:val="00A32F36"/>
    <w:rsid w:val="00A47384"/>
    <w:rsid w:val="00A47E1B"/>
    <w:rsid w:val="00A71576"/>
    <w:rsid w:val="00A729BC"/>
    <w:rsid w:val="00AD09F7"/>
    <w:rsid w:val="00AF40AB"/>
    <w:rsid w:val="00AF4C12"/>
    <w:rsid w:val="00B061EE"/>
    <w:rsid w:val="00B419B8"/>
    <w:rsid w:val="00B4698E"/>
    <w:rsid w:val="00B5500A"/>
    <w:rsid w:val="00B648D8"/>
    <w:rsid w:val="00B76713"/>
    <w:rsid w:val="00B93894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619C0"/>
    <w:rsid w:val="00C754CB"/>
    <w:rsid w:val="00C835EA"/>
    <w:rsid w:val="00C917C3"/>
    <w:rsid w:val="00CC1A72"/>
    <w:rsid w:val="00CD4792"/>
    <w:rsid w:val="00CD5A4A"/>
    <w:rsid w:val="00D05073"/>
    <w:rsid w:val="00D213AD"/>
    <w:rsid w:val="00D809DD"/>
    <w:rsid w:val="00D86D63"/>
    <w:rsid w:val="00DC7986"/>
    <w:rsid w:val="00E01BA6"/>
    <w:rsid w:val="00E05B46"/>
    <w:rsid w:val="00E20E8A"/>
    <w:rsid w:val="00E47E23"/>
    <w:rsid w:val="00E6747F"/>
    <w:rsid w:val="00E737D5"/>
    <w:rsid w:val="00EC46A5"/>
    <w:rsid w:val="00EF18B6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24C8-3B77-4361-872B-5E65BFEB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2536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2019-04-24T20:30:00Z</cp:lastPrinted>
  <dcterms:created xsi:type="dcterms:W3CDTF">2021-03-16T14:13:00Z</dcterms:created>
  <dcterms:modified xsi:type="dcterms:W3CDTF">2021-03-16T14:13:00Z</dcterms:modified>
</cp:coreProperties>
</file>