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633128" w:rsidP="00B906ED">
      <w:pPr>
        <w:ind w:left="720"/>
        <w:rPr>
          <w:color w:val="000000"/>
          <w:lang w:val="fr-CA"/>
        </w:rPr>
      </w:pPr>
      <w:r w:rsidRPr="00633128">
        <w:rPr>
          <w:b/>
          <w:lang w:val="fr-CA"/>
        </w:rPr>
        <w:t>Sofosbuvir / Velpatasvir / Voxilaprévir (Vosevi)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4909E8" w:rsidP="00B906ED">
      <w:pPr>
        <w:ind w:left="720"/>
        <w:rPr>
          <w:color w:val="000000"/>
          <w:lang w:val="fr-CA"/>
        </w:rPr>
      </w:pPr>
      <w:r w:rsidRPr="004909E8">
        <w:rPr>
          <w:b/>
          <w:lang w:val="fr-CA"/>
        </w:rPr>
        <w:t>IPP : lansoprazole (Prevacid), oméprazole (Losec), pantoprazole (Pantoloc)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4909E8">
        <w:rPr>
          <w:rFonts w:eastAsia="Century Gothic"/>
          <w:color w:val="000000"/>
          <w:lang w:val="fr-CA"/>
        </w:rPr>
        <w:t>inhibiteurs de la pompe à protons (IPP)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36414F" w:rsidRPr="0036414F" w:rsidRDefault="00F12F01" w:rsidP="0036414F">
      <w:pPr>
        <w:jc w:val="center"/>
        <w:rPr>
          <w:rFonts w:eastAsia="Century Gothic"/>
          <w:b/>
          <w:i/>
          <w:lang w:val="fr-CA"/>
        </w:rPr>
      </w:pPr>
      <w:bookmarkStart w:id="0" w:name="bmAutoText1"/>
      <w:r w:rsidRPr="00F12F01">
        <w:rPr>
          <w:rFonts w:eastAsia="Century Gothic"/>
          <w:b/>
          <w:bCs/>
          <w:i/>
          <w:lang w:val="fr-CA"/>
        </w:rPr>
        <w:t>Sofosbuvir / Velpatasvir / Voxilaprévir (Vosevi)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</w:t>
      </w:r>
      <w:r w:rsidR="004909E8">
        <w:rPr>
          <w:rFonts w:eastAsia="Century Gothic"/>
          <w:b/>
          <w:bCs/>
          <w:i/>
          <w:lang w:val="fr-CA"/>
        </w:rPr>
        <w:t>IPP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F12F01" w:rsidRPr="00633128" w:rsidRDefault="000D4348" w:rsidP="00F12F01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="00F12F01" w:rsidRPr="00F17074">
        <w:rPr>
          <w:rFonts w:eastAsia="Century Gothic"/>
          <w:bCs/>
          <w:lang w:val="fr-CA"/>
        </w:rPr>
        <w:t>Étude pharmacocinétique : Sofosbuvir / Velpatasvir / Voxilaprévir (Vosevi) + Om</w:t>
      </w:r>
      <w:r w:rsidR="00F12F01">
        <w:rPr>
          <w:rFonts w:eastAsia="Century Gothic"/>
          <w:bCs/>
          <w:lang w:val="fr-CA"/>
        </w:rPr>
        <w:t>é</w:t>
      </w:r>
      <w:r w:rsidR="00633128">
        <w:rPr>
          <w:rFonts w:eastAsia="Century Gothic"/>
          <w:bCs/>
          <w:lang w:val="fr-CA"/>
        </w:rPr>
        <w:t>prazole 20 mg</w:t>
      </w:r>
    </w:p>
    <w:tbl>
      <w:tblPr>
        <w:tblStyle w:val="GridTable31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2F01" w:rsidTr="0063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6" w:type="dxa"/>
            <w:hideMark/>
          </w:tcPr>
          <w:p w:rsidR="00F12F01" w:rsidRDefault="00F12F01" w:rsidP="00B86878">
            <w:pPr>
              <w:jc w:val="left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(IPP)</w:t>
            </w:r>
          </w:p>
        </w:tc>
        <w:tc>
          <w:tcPr>
            <w:tcW w:w="3597" w:type="dxa"/>
            <w:tcBorders>
              <w:bottom w:val="single" w:sz="4" w:space="0" w:color="666666" w:themeColor="text1" w:themeTint="99"/>
            </w:tcBorders>
            <w:hideMark/>
          </w:tcPr>
          <w:p w:rsidR="00F12F01" w:rsidRDefault="00F12F01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2 h après</w:t>
            </w:r>
            <w:r>
              <w:rPr>
                <w:rFonts w:eastAsia="Century Gothic"/>
                <w:bCs w:val="0"/>
                <w:lang w:val="fr-CA"/>
              </w:rPr>
              <w:t xml:space="preserve"> l’anti-VHC</w:t>
            </w:r>
          </w:p>
        </w:tc>
        <w:tc>
          <w:tcPr>
            <w:tcW w:w="3597" w:type="dxa"/>
            <w:tcBorders>
              <w:bottom w:val="single" w:sz="4" w:space="0" w:color="666666" w:themeColor="text1" w:themeTint="99"/>
            </w:tcBorders>
            <w:hideMark/>
          </w:tcPr>
          <w:p w:rsidR="00F12F01" w:rsidRDefault="00F12F01" w:rsidP="00B8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4 h après</w:t>
            </w:r>
            <w:r>
              <w:rPr>
                <w:rFonts w:eastAsia="Century Gothic"/>
                <w:bCs w:val="0"/>
                <w:lang w:val="fr-CA"/>
              </w:rPr>
              <w:t xml:space="preserve"> l’anti-VHC</w:t>
            </w:r>
          </w:p>
        </w:tc>
      </w:tr>
      <w:tr w:rsidR="00F12F01" w:rsidTr="0063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666666" w:themeColor="text1" w:themeTint="99"/>
            </w:tcBorders>
            <w:shd w:val="clear" w:color="auto" w:fill="D9D9D9" w:themeFill="background1" w:themeFillShade="D9"/>
            <w:hideMark/>
          </w:tcPr>
          <w:p w:rsidR="00F12F01" w:rsidRDefault="00F12F01" w:rsidP="00F12F01">
            <w:pPr>
              <w:jc w:val="left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 xml:space="preserve">SSC du velpatasvir </w:t>
            </w:r>
          </w:p>
        </w:tc>
        <w:tc>
          <w:tcPr>
            <w:tcW w:w="359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:rsidR="00F12F01" w:rsidRDefault="00F12F01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 xml:space="preserve">↓ </w:t>
            </w:r>
            <w:r>
              <w:rPr>
                <w:rFonts w:eastAsia="Century Gothic"/>
                <w:lang w:val="fr-CA"/>
              </w:rPr>
              <w:t>54 %</w:t>
            </w:r>
          </w:p>
        </w:tc>
        <w:tc>
          <w:tcPr>
            <w:tcW w:w="359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:rsidR="00F12F01" w:rsidRDefault="00F12F01" w:rsidP="00B86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 xml:space="preserve">↓ </w:t>
            </w:r>
            <w:r>
              <w:rPr>
                <w:rFonts w:eastAsia="Century Gothic"/>
                <w:lang w:val="fr-CA"/>
              </w:rPr>
              <w:t>51%</w:t>
            </w:r>
          </w:p>
        </w:tc>
      </w:tr>
    </w:tbl>
    <w:p w:rsidR="00F12F01" w:rsidRDefault="00F12F01" w:rsidP="00F12F01">
      <w:pPr>
        <w:widowControl w:val="0"/>
        <w:jc w:val="both"/>
        <w:rPr>
          <w:rFonts w:eastAsia="Century Gothic"/>
        </w:rPr>
      </w:pPr>
    </w:p>
    <w:p w:rsidR="000D4348" w:rsidRPr="00E50215" w:rsidRDefault="00F12F01" w:rsidP="00F12F01">
      <w:pPr>
        <w:rPr>
          <w:rFonts w:eastAsia="Century Gothic"/>
          <w:lang w:val="fr-CA"/>
        </w:rPr>
      </w:pPr>
      <w:r w:rsidRPr="00F17074">
        <w:rPr>
          <w:rFonts w:eastAsia="Century Gothic"/>
          <w:lang w:val="fr-CA"/>
        </w:rPr>
        <w:t>Selon la monographie, un IPP, à des doses équivalentes à 20 mg d’oméprazole, peut être associé au Vosevi.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</w:t>
      </w:r>
      <w:r w:rsidR="004909E8">
        <w:rPr>
          <w:rFonts w:eastAsia="Century Gothic"/>
          <w:b/>
          <w:lang w:val="fr-CA"/>
        </w:rPr>
        <w:t xml:space="preserve">IPP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0D4348" w:rsidRDefault="000D4348" w:rsidP="000D4348">
      <w:pPr>
        <w:rPr>
          <w:rFonts w:eastAsia="Century Gothic"/>
          <w:lang w:val="fr-CA"/>
        </w:rPr>
      </w:pPr>
    </w:p>
    <w:p w:rsidR="004909E8" w:rsidRPr="004909E8" w:rsidRDefault="004909E8" w:rsidP="004909E8">
      <w:pPr>
        <w:jc w:val="center"/>
        <w:rPr>
          <w:rFonts w:eastAsia="Century Gothic"/>
          <w:b/>
          <w:lang w:val="fr-CA"/>
        </w:rPr>
      </w:pPr>
      <w:r w:rsidRPr="00B936B9">
        <w:rPr>
          <w:rFonts w:eastAsia="Century Gothic"/>
          <w:b/>
          <w:lang w:val="fr-CA"/>
        </w:rPr>
        <w:t>*Posologie recommandée : dose comparable à 20 mg d'oméprazole die soit dexlansoprazole 30 mg; ésoméprazole 20 mg ; lansoprazole 30 mg ; pantopr</w:t>
      </w:r>
      <w:r>
        <w:rPr>
          <w:rFonts w:eastAsia="Century Gothic"/>
          <w:b/>
          <w:lang w:val="fr-CA"/>
        </w:rPr>
        <w:t>azole 40 mg; rabéprazole 20 mg*</w:t>
      </w:r>
      <w:r w:rsidRPr="004909E8">
        <w:rPr>
          <w:rFonts w:eastAsia="Century Gothic"/>
          <w:lang w:val="fr-CA"/>
        </w:rPr>
        <w:br/>
      </w:r>
    </w:p>
    <w:p w:rsidR="00633128" w:rsidRDefault="00633128" w:rsidP="0063312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Diminuer la dose de l’IPP à _________________________ </w:t>
      </w:r>
      <w:r>
        <w:rPr>
          <w:rFonts w:eastAsia="Century Gothic"/>
          <w:lang w:val="fr-CA"/>
        </w:rPr>
        <w:t>*Du __________ au ___________*</w:t>
      </w:r>
    </w:p>
    <w:p w:rsidR="00633128" w:rsidRPr="00633128" w:rsidRDefault="00633128" w:rsidP="00633128">
      <w:pPr>
        <w:pStyle w:val="Paragraphedeliste"/>
        <w:rPr>
          <w:rFonts w:eastAsia="Century Gothic"/>
          <w:lang w:val="fr-CA"/>
        </w:rPr>
      </w:pPr>
    </w:p>
    <w:p w:rsidR="00633128" w:rsidRPr="00633128" w:rsidRDefault="00633128" w:rsidP="0063312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633128">
        <w:rPr>
          <w:rFonts w:eastAsia="Century Gothic"/>
          <w:lang w:val="fr-CA"/>
        </w:rPr>
        <w:t xml:space="preserve">Cesser l’IPP </w:t>
      </w:r>
      <w:r w:rsidRPr="00633128">
        <w:rPr>
          <w:rFonts w:eastAsia="Century Gothic"/>
          <w:b/>
          <w:lang w:val="fr-CA"/>
        </w:rPr>
        <w:t>*Réévaluer l’indication de traitement de l’IPP et si ce dernier peut être cessé*</w:t>
      </w:r>
    </w:p>
    <w:p w:rsidR="000D4348" w:rsidRPr="00633128" w:rsidRDefault="004909E8" w:rsidP="00633128">
      <w:pPr>
        <w:rPr>
          <w:rFonts w:eastAsia="Century Gothic"/>
          <w:lang w:val="fr-CA"/>
        </w:rPr>
      </w:pPr>
      <w:r w:rsidRPr="00633128">
        <w:rPr>
          <w:rFonts w:eastAsia="Century Gothic"/>
          <w:lang w:val="fr-CA"/>
        </w:rPr>
        <w:tab/>
      </w: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4909E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3815AC">
        <w:rPr>
          <w:rFonts w:eastAsia="Century Gothic"/>
          <w:lang w:val="fr-CA"/>
        </w:rPr>
        <w:t>VHC</w:t>
      </w:r>
      <w:bookmarkStart w:id="1" w:name="_GoBack"/>
      <w:bookmarkEnd w:id="1"/>
      <w:r w:rsidRPr="00C73702">
        <w:rPr>
          <w:rFonts w:eastAsia="Century Gothic"/>
          <w:lang w:val="fr-CA"/>
        </w:rPr>
        <w:t>.</w:t>
      </w: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17" w:rsidRDefault="00CF4D17" w:rsidP="00CD5A4A">
      <w:r>
        <w:separator/>
      </w:r>
    </w:p>
  </w:endnote>
  <w:endnote w:type="continuationSeparator" w:id="0">
    <w:p w:rsidR="00CF4D17" w:rsidRDefault="00CF4D1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815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3815AC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17" w:rsidRDefault="00CF4D17" w:rsidP="00CD5A4A">
      <w:r>
        <w:separator/>
      </w:r>
    </w:p>
  </w:footnote>
  <w:footnote w:type="continuationSeparator" w:id="0">
    <w:p w:rsidR="00CF4D17" w:rsidRDefault="00CF4D1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4D1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4D1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149"/>
    <w:multiLevelType w:val="multilevel"/>
    <w:tmpl w:val="4318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602E"/>
    <w:rsid w:val="002A76EB"/>
    <w:rsid w:val="002B66D9"/>
    <w:rsid w:val="002B671D"/>
    <w:rsid w:val="002E51C3"/>
    <w:rsid w:val="002F6838"/>
    <w:rsid w:val="0030271F"/>
    <w:rsid w:val="00310298"/>
    <w:rsid w:val="003413ED"/>
    <w:rsid w:val="0036414F"/>
    <w:rsid w:val="003815AC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09E8"/>
    <w:rsid w:val="00497C72"/>
    <w:rsid w:val="00533604"/>
    <w:rsid w:val="00547DB4"/>
    <w:rsid w:val="005733C2"/>
    <w:rsid w:val="00593175"/>
    <w:rsid w:val="00596720"/>
    <w:rsid w:val="005B70C4"/>
    <w:rsid w:val="005B7D5C"/>
    <w:rsid w:val="005C1951"/>
    <w:rsid w:val="005F76FA"/>
    <w:rsid w:val="00602BFA"/>
    <w:rsid w:val="00602E97"/>
    <w:rsid w:val="00612E24"/>
    <w:rsid w:val="006150EE"/>
    <w:rsid w:val="006322CD"/>
    <w:rsid w:val="00633128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64DD8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4D17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C46A5"/>
    <w:rsid w:val="00EF18B6"/>
    <w:rsid w:val="00F12F01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F12F01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F12F01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1325-C69C-4382-8B51-C11E160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1956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2021-03-16T13:38:00Z</dcterms:created>
  <dcterms:modified xsi:type="dcterms:W3CDTF">2021-03-16T13:38:00Z</dcterms:modified>
</cp:coreProperties>
</file>