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6A0FA7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6A0FA7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</w:t>
      </w:r>
      <w:r w:rsidR="004527CE">
        <w:rPr>
          <w:b/>
          <w:lang w:val="fr-CA"/>
        </w:rPr>
        <w:t xml:space="preserve"> / Velpatasvir / Voxilaprévir</w:t>
      </w:r>
      <w:r>
        <w:rPr>
          <w:b/>
          <w:lang w:val="fr-CA"/>
        </w:rPr>
        <w:t xml:space="preserve"> </w:t>
      </w:r>
      <w:r w:rsidR="002B66D9">
        <w:rPr>
          <w:b/>
          <w:lang w:val="fr-CA"/>
        </w:rPr>
        <w:t>(</w:t>
      </w:r>
      <w:r w:rsidR="004527CE">
        <w:rPr>
          <w:b/>
          <w:lang w:val="fr-CA"/>
        </w:rPr>
        <w:t>Vosev</w:t>
      </w:r>
      <w:r>
        <w:rPr>
          <w:b/>
          <w:lang w:val="fr-CA"/>
        </w:rPr>
        <w:t>i</w:t>
      </w:r>
      <w:r w:rsidR="002B66D9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Oxcarbazépine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Phénytoïne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32375" w:rsidRDefault="00251915" w:rsidP="00532375">
      <w:pPr>
        <w:spacing w:after="160" w:line="256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532375">
        <w:rPr>
          <w:rFonts w:eastAsia="Century Gothic"/>
          <w:lang w:val="fr-CA"/>
        </w:rPr>
        <w:t>La carbamazépine, l’oxcarbazépine, le phénobarbital et la phénytoïne 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532375" w:rsidRDefault="00532375" w:rsidP="0053237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et anticonvulsivants </w:t>
      </w:r>
    </w:p>
    <w:p w:rsidR="00532375" w:rsidRDefault="00532375" w:rsidP="00532375">
      <w:pPr>
        <w:ind w:left="360"/>
        <w:jc w:val="both"/>
        <w:rPr>
          <w:rFonts w:eastAsia="Century Gothic"/>
          <w:lang w:val="fr-CA"/>
        </w:rPr>
      </w:pPr>
    </w:p>
    <w:bookmarkEnd w:id="0"/>
    <w:p w:rsidR="00B906ED" w:rsidRPr="00C812A0" w:rsidRDefault="00532375" w:rsidP="00532375">
      <w:pPr>
        <w:jc w:val="both"/>
        <w:rPr>
          <w:lang w:val="fr-CA"/>
        </w:rPr>
      </w:pPr>
      <w:r>
        <w:rPr>
          <w:rFonts w:eastAsia="Century Gothic"/>
          <w:lang w:val="fr-CA"/>
        </w:rPr>
        <w:t>L’association de ces médicaments n'a pas été étudiée. Toutefois, selon les monographies, l'utilisation concomitante de ces anti-VHC avec de puissants inducteurs du CYP 3A4 comme la carbamazépine, l’oxcarbazépine, le phénobarbital et la phénytoïne est contre-indiquée ou non recommandée.</w:t>
      </w:r>
    </w:p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 xml:space="preserve">Substituer l’anticonvulsivant pour : </w:t>
      </w:r>
      <w:r w:rsidR="00452756" w:rsidRPr="00C812A0">
        <w:rPr>
          <w:rFonts w:eastAsia="Century Gothic"/>
          <w:lang w:val="fr-CA"/>
        </w:rPr>
        <w:t>Gabapentine, Prégabaline</w:t>
      </w:r>
      <w:r w:rsidR="00452756">
        <w:rPr>
          <w:rFonts w:eastAsia="Century Gothic"/>
          <w:lang w:val="fr-CA"/>
        </w:rPr>
        <w:t>,</w:t>
      </w:r>
      <w:r w:rsidR="00452756" w:rsidRPr="00C812A0">
        <w:rPr>
          <w:rFonts w:eastAsia="Century Gothic"/>
          <w:lang w:val="fr-CA"/>
        </w:rPr>
        <w:t xml:space="preserve"> Lévétiracétam</w:t>
      </w:r>
      <w:r w:rsidR="00452756">
        <w:rPr>
          <w:rFonts w:eastAsia="Century Gothic"/>
          <w:lang w:val="fr-CA"/>
        </w:rPr>
        <w:t>, B</w:t>
      </w:r>
      <w:r w:rsidR="00452756" w:rsidRPr="00AA3962">
        <w:rPr>
          <w:rFonts w:eastAsia="Century Gothic"/>
          <w:lang w:val="fr-CA"/>
        </w:rPr>
        <w:t>rivarac</w:t>
      </w:r>
      <w:r w:rsidR="00452756">
        <w:rPr>
          <w:rFonts w:eastAsia="Century Gothic"/>
          <w:lang w:val="fr-CA"/>
        </w:rPr>
        <w:t>é</w:t>
      </w:r>
      <w:r w:rsidR="00452756" w:rsidRPr="00AA3962">
        <w:rPr>
          <w:rFonts w:eastAsia="Century Gothic"/>
          <w:lang w:val="fr-CA"/>
        </w:rPr>
        <w:t xml:space="preserve">tam, </w:t>
      </w:r>
      <w:r w:rsidR="00452756">
        <w:rPr>
          <w:rFonts w:eastAsia="Century Gothic"/>
          <w:lang w:val="fr-CA"/>
        </w:rPr>
        <w:t>ou A</w:t>
      </w:r>
      <w:r w:rsidR="00452756" w:rsidRPr="00AA3962">
        <w:rPr>
          <w:rFonts w:eastAsia="Century Gothic"/>
          <w:lang w:val="fr-CA"/>
        </w:rPr>
        <w:t>cide valproïque</w:t>
      </w:r>
      <w:r w:rsidR="00452756">
        <w:rPr>
          <w:rFonts w:eastAsia="Century Gothic"/>
          <w:lang w:val="fr-CA"/>
        </w:rPr>
        <w:t>.</w:t>
      </w:r>
      <w:bookmarkStart w:id="1" w:name="_GoBack"/>
      <w:bookmarkEnd w:id="1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r>
        <w:rPr>
          <w:rFonts w:eastAsia="Century Gothic"/>
        </w:rPr>
        <w:t>Posologie :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 w:rsidR="00A435F0"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7A" w:rsidRDefault="00C4237A" w:rsidP="00CD5A4A">
      <w:r>
        <w:separator/>
      </w:r>
    </w:p>
  </w:endnote>
  <w:endnote w:type="continuationSeparator" w:id="0">
    <w:p w:rsidR="00C4237A" w:rsidRDefault="00C4237A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A435F0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7A" w:rsidRDefault="00C4237A" w:rsidP="00CD5A4A">
      <w:r>
        <w:separator/>
      </w:r>
    </w:p>
  </w:footnote>
  <w:footnote w:type="continuationSeparator" w:id="0">
    <w:p w:rsidR="00C4237A" w:rsidRDefault="00C4237A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4237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4237A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572A6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56"/>
    <w:rsid w:val="004527CE"/>
    <w:rsid w:val="00467422"/>
    <w:rsid w:val="00497C72"/>
    <w:rsid w:val="00532375"/>
    <w:rsid w:val="00533604"/>
    <w:rsid w:val="00544B11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07BAB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35F0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237A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0AD1-647E-49C3-A329-84DD04AF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1962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2021-03-16T08:15:00Z</dcterms:created>
  <dcterms:modified xsi:type="dcterms:W3CDTF">2021-03-17T14:22:00Z</dcterms:modified>
</cp:coreProperties>
</file>