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Metformine et Bictégravir (Biktarvy)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Metformine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seule (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Glucophage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Metformine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en combinaison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(Janumet, Invokamet, Jentadueto) : ______________.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Bictégravir/Emtricitabine/Tenofovir Alafenamide (Biktarvy)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d’effets indésirables peut survenir lors de l’administration concomitante de la metformine avec le bictégravir.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 1-2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 un inhibiteur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transporteurs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rénaux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OCT2 et MATE-1.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metformine est un substrat de l’OCT2 et MATE-1.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En diminuant son élimination rénale, 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inhibitions peuvent augmenter la concentration plasmatique de la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etformine et potentiellement le risque d’effets indésirables.</w:t>
      </w:r>
    </w:p>
    <w:p w:rsidR="00000000" w:rsidDel="00000000" w:rsidP="00000000" w:rsidRDefault="00000000" w:rsidRPr="00000000" w14:paraId="00000012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l’interaction ci-haut :</w:t>
      </w:r>
    </w:p>
    <w:p w:rsidR="00000000" w:rsidDel="00000000" w:rsidP="00000000" w:rsidRDefault="00000000" w:rsidRPr="00000000" w14:paraId="00000014">
      <w:pPr>
        <w:widowControl w:val="0"/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Biktarvy DIE + Metformine 500 mg BID :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↑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de 39 % et de 36 % respectivement de la SSC et de la Cmin de la metformine.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Lors de cette étude pharmacocinétique aucun effet sur la glycémie ou effet indésirable n’a été observé. Cette augmentation de concentrations a été jugée cliniquement non significative, ainsi la co-administration est possible sans adaptation posologique.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En présence d’une fonction rénale normale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Aucun ajustement de dose n’est nécessaire.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En présence d’une insuffisance rénale ou une condition médicale pouvant modifier la fonction rénale :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Par mesusre préventive, 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xercer un suivi des effets indésirables de la metformine au début ou à la cessation de la co-administration. Un ajustement de la dose de la metformine peut être envisagé si nécessaire. 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Surveiller la glycémie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Surveiller les signes et symptômes d’effets indésirables associés à la metformine (douleurs abdominales, diarrhées, anorexie, symptômes d’hypoglycémie, etc).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Surveiller les signes et symptômes associés à une acidose lactique (nausées, vomissements, douleurs à l’estomac, perte de poids, grande fatigue, etc)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particulièrement chez les patients âgés, dénutris ou avec une fonction rénale altérée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 : 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 : __________    Signature : __________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 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BIKTARVY (comprimés de bictegravir, emtricitabine, tenofovir alafenamide à 50, 200 et 25 mg respectivement), numéro de contrôle : 203718, Gilead Sciences Canada Inc., Ontario, Canada, Juillet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Zhang H, West S, Vu A, Martin H, Graham H et al. Lack of Clinically Relevant Effect of Bictegravir on Metformin Pharmacokinetics and Pharmacodynamics. 18th International Workshop on Clinical Pharmacology of Antiviral Therapy. June 14-16, 2017, Chicago, USA, Abstract P_50.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 thérapeutique VIH. [En ligne]. Disponible 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http://www.guidetherapeutiquevih.com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Times" w:cs="Times" w:eastAsia="Times" w:hAnsi="Times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4b4b4b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An oral glucose tolerance test was performed before and after metformin was administered.  In the presence of bictegravir/emtrictabine/tenofovir alafenamide, metformin AUC was increased 39% relative to placebo.  The pharmacodynamic effects of metformin, including glucose reduction, increase in active GLP-1 and lactate were not significantly affected by bictegravir/emtricitabine/TAF relative to placebo.  Based on these findings, prospective dose adjustment or dose restriction of metformin is not required.</w:t>
      </w:r>
      <w:r w:rsidDel="00000000" w:rsidR="00000000" w:rsidRPr="00000000">
        <w:rPr>
          <w:rFonts w:ascii="Helvetica Neue" w:cs="Helvetica Neue" w:eastAsia="Helvetica Neue" w:hAnsi="Helvetica Neue"/>
          <w:color w:val="0000ff"/>
          <w:sz w:val="16"/>
          <w:szCs w:val="16"/>
          <w:highlight w:val="white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1"/>
          <w:szCs w:val="21"/>
          <w:highlight w:val="white"/>
          <w:rtl w:val="0"/>
        </w:rPr>
        <w:t xml:space="preserve">﻿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Zhang H, West SK, Vu A, et al. Lack of clinically relevant effect of bictegravir on metformin pharmacokinetics and pharmacodynamics [abstract 50]. 18th International Workshop on Clinical Pharmacology of Antiviral Therapy, Chicago, IL. June 14-16, 2017.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Times"/>
  <w:font w:name="Noto Sans Symbol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pos="4536"/>
        <w:tab w:val="right" w:pos="9072"/>
      </w:tabs>
      <w:contextualSpacing w:val="0"/>
      <w:rPr/>
    </w:pPr>
    <w:hyperlink r:id="rId1">
      <w:r w:rsidDel="00000000" w:rsidR="00000000" w:rsidRPr="00000000">
        <w:rPr>
          <w:color w:val="0563c1"/>
          <w:u w:val="single"/>
          <w:rtl w:val="0"/>
        </w:rPr>
        <w:t xml:space="preserve">www.guidetherapeutiquevih.com</w:t>
      </w:r>
    </w:hyperlink>
    <w:r w:rsidDel="00000000" w:rsidR="00000000" w:rsidRPr="00000000">
      <w:rPr>
        <w:rtl w:val="0"/>
      </w:rPr>
      <w:t xml:space="preserve">                                                                                 Septembre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idetherapeutiquevih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