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Opinion pharmaceutique </w:t>
      </w:r>
    </w:p>
    <w:p w:rsidR="00000000" w:rsidDel="00000000" w:rsidP="00000000" w:rsidRDefault="00000000" w:rsidRPr="00000000" w14:paraId="00000002">
      <w:pPr>
        <w:jc w:val="cente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3">
      <w:pPr>
        <w:jc w:val="cente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Interaction entre les antiplaquettaires et les antirétroviraux combinés </w:t>
      </w:r>
    </w:p>
    <w:p w:rsidR="00000000" w:rsidDel="00000000" w:rsidP="00000000" w:rsidRDefault="00000000" w:rsidRPr="00000000" w14:paraId="00000004">
      <w:pPr>
        <w:jc w:val="cente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au ritonavir ou au cobicistat</w:t>
      </w:r>
    </w:p>
    <w:p w:rsidR="00000000" w:rsidDel="00000000" w:rsidP="00000000" w:rsidRDefault="00000000" w:rsidRPr="00000000" w14:paraId="00000005">
      <w:pPr>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6">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Patient(e) : _________________________</w:t>
        <w:tab/>
        <w:tab/>
        <w:tab/>
        <w:t xml:space="preserve">DDN : _____/_____/_____</w:t>
      </w:r>
    </w:p>
    <w:p w:rsidR="00000000" w:rsidDel="00000000" w:rsidP="00000000" w:rsidRDefault="00000000" w:rsidRPr="00000000" w14:paraId="00000007">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8">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Après avoir analysé le dossier de votre patient(e), j’ai relevé un problème relié à sa pharmacothérapie. </w:t>
      </w:r>
    </w:p>
    <w:p w:rsidR="00000000" w:rsidDel="00000000" w:rsidP="00000000" w:rsidRDefault="00000000" w:rsidRPr="00000000" w14:paraId="00000009">
      <w:pPr>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0A">
      <w:pPr>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Interaction entre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Ticagr</w:t>
      </w:r>
      <w:r w:rsidDel="00000000" w:rsidR="00000000" w:rsidRPr="00000000">
        <w:rPr>
          <w:rFonts w:ascii="Century Gothic" w:cs="Century Gothic" w:eastAsia="Century Gothic" w:hAnsi="Century Gothic"/>
          <w:sz w:val="22"/>
          <w:szCs w:val="22"/>
          <w:rtl w:val="0"/>
        </w:rPr>
        <w:t xml:space="preserve">é</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lor (Brilinta)</w:t>
      </w:r>
    </w:p>
    <w:p w:rsidR="00000000" w:rsidDel="00000000" w:rsidP="00000000" w:rsidRDefault="00000000" w:rsidRPr="00000000" w14:paraId="0000000C">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Clopidogrel (Plavix)</w:t>
        <w:br w:type="textWrapping"/>
      </w:r>
      <w:r w:rsidDel="00000000" w:rsidR="00000000" w:rsidRPr="00000000">
        <w:rPr>
          <w:rFonts w:ascii="Century Gothic" w:cs="Century Gothic" w:eastAsia="Century Gothic" w:hAnsi="Century Gothic"/>
          <w:sz w:val="22"/>
          <w:szCs w:val="22"/>
          <w:rtl w:val="0"/>
        </w:rPr>
        <w:t xml:space="preserve">Et</w:t>
      </w:r>
    </w:p>
    <w:p w:rsidR="00000000" w:rsidDel="00000000" w:rsidP="00000000" w:rsidRDefault="00000000" w:rsidRPr="00000000" w14:paraId="0000000D">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i w:val="1"/>
          <w:sz w:val="22"/>
          <w:szCs w:val="22"/>
          <w:rtl w:val="0"/>
        </w:rPr>
        <w:t xml:space="preserve">Cobicistat</w:t>
      </w:r>
      <w:r w:rsidDel="00000000" w:rsidR="00000000" w:rsidRPr="00000000">
        <w:rPr>
          <w:rtl w:val="0"/>
        </w:rPr>
      </w:r>
    </w:p>
    <w:p w:rsidR="00000000" w:rsidDel="00000000" w:rsidP="00000000" w:rsidRDefault="00000000" w:rsidRPr="00000000" w14:paraId="0000000E">
      <w:pPr>
        <w:numPr>
          <w:ilvl w:val="0"/>
          <w:numId w:val="1"/>
        </w:numPr>
        <w:ind w:left="720" w:hanging="360"/>
        <w:jc w:val="both"/>
        <w:rPr>
          <w:sz w:val="22"/>
          <w:szCs w:val="22"/>
        </w:rPr>
      </w:pPr>
      <w:r w:rsidDel="00000000" w:rsidR="00000000" w:rsidRPr="00000000">
        <w:rPr>
          <w:rFonts w:ascii="Century Gothic" w:cs="Century Gothic" w:eastAsia="Century Gothic" w:hAnsi="Century Gothic"/>
          <w:sz w:val="22"/>
          <w:szCs w:val="22"/>
          <w:rtl w:val="0"/>
        </w:rPr>
        <w:t xml:space="preserve">Atazanavir/Cobicistat (Evotaz)</w:t>
      </w:r>
    </w:p>
    <w:p w:rsidR="00000000" w:rsidDel="00000000" w:rsidP="00000000" w:rsidRDefault="00000000" w:rsidRPr="00000000" w14:paraId="0000000F">
      <w:pPr>
        <w:numPr>
          <w:ilvl w:val="0"/>
          <w:numId w:val="1"/>
        </w:numPr>
        <w:ind w:left="720" w:hanging="360"/>
        <w:jc w:val="both"/>
        <w:rPr>
          <w:sz w:val="22"/>
          <w:szCs w:val="22"/>
        </w:rPr>
      </w:pPr>
      <w:r w:rsidDel="00000000" w:rsidR="00000000" w:rsidRPr="00000000">
        <w:rPr>
          <w:rFonts w:ascii="Century Gothic" w:cs="Century Gothic" w:eastAsia="Century Gothic" w:hAnsi="Century Gothic"/>
          <w:sz w:val="22"/>
          <w:szCs w:val="22"/>
          <w:rtl w:val="0"/>
        </w:rPr>
        <w:t xml:space="preserve">Darunavir/Cobicistat (Prezcobix)</w:t>
      </w:r>
    </w:p>
    <w:p w:rsidR="00000000" w:rsidDel="00000000" w:rsidP="00000000" w:rsidRDefault="00000000" w:rsidRPr="00000000" w14:paraId="00000010">
      <w:pPr>
        <w:numPr>
          <w:ilvl w:val="0"/>
          <w:numId w:val="1"/>
        </w:numPr>
        <w:ind w:left="720" w:hanging="360"/>
        <w:jc w:val="both"/>
        <w:rPr>
          <w:sz w:val="22"/>
          <w:szCs w:val="22"/>
        </w:rPr>
      </w:pPr>
      <w:r w:rsidDel="00000000" w:rsidR="00000000" w:rsidRPr="00000000">
        <w:rPr>
          <w:rFonts w:ascii="Century Gothic" w:cs="Century Gothic" w:eastAsia="Century Gothic" w:hAnsi="Century Gothic"/>
          <w:sz w:val="22"/>
          <w:szCs w:val="22"/>
          <w:rtl w:val="0"/>
        </w:rPr>
        <w:t xml:space="preserve">Darunavir/Cobicistat/Emtricitabine/Ténofovir alafénamide (Symtuza)</w:t>
      </w:r>
    </w:p>
    <w:p w:rsidR="00000000" w:rsidDel="00000000" w:rsidP="00000000" w:rsidRDefault="00000000" w:rsidRPr="00000000" w14:paraId="00000011">
      <w:pPr>
        <w:numPr>
          <w:ilvl w:val="0"/>
          <w:numId w:val="1"/>
        </w:numPr>
        <w:ind w:left="720" w:hanging="360"/>
        <w:jc w:val="both"/>
        <w:rPr>
          <w:sz w:val="22"/>
          <w:szCs w:val="22"/>
        </w:rPr>
      </w:pPr>
      <w:r w:rsidDel="00000000" w:rsidR="00000000" w:rsidRPr="00000000">
        <w:rPr>
          <w:rFonts w:ascii="Century Gothic" w:cs="Century Gothic" w:eastAsia="Century Gothic" w:hAnsi="Century Gothic"/>
          <w:sz w:val="22"/>
          <w:szCs w:val="22"/>
          <w:rtl w:val="0"/>
        </w:rPr>
        <w:t xml:space="preserve">Elvitégravir/Cobicistat/Emtricitabine/Ténofovir (Stribild, Genvoya)</w:t>
      </w:r>
    </w:p>
    <w:p w:rsidR="00000000" w:rsidDel="00000000" w:rsidP="00000000" w:rsidRDefault="00000000" w:rsidRPr="00000000" w14:paraId="00000012">
      <w:pPr>
        <w:ind w:left="360"/>
        <w:jc w:val="both"/>
        <w:rPr>
          <w:rFonts w:ascii="Century Gothic" w:cs="Century Gothic" w:eastAsia="Century Gothic" w:hAnsi="Century Gothic"/>
          <w:i w:val="1"/>
          <w:sz w:val="22"/>
          <w:szCs w:val="22"/>
        </w:rPr>
      </w:pPr>
      <w:r w:rsidDel="00000000" w:rsidR="00000000" w:rsidRPr="00000000">
        <w:rPr>
          <w:rFonts w:ascii="Century Gothic" w:cs="Century Gothic" w:eastAsia="Century Gothic" w:hAnsi="Century Gothic"/>
          <w:i w:val="1"/>
          <w:sz w:val="22"/>
          <w:szCs w:val="22"/>
          <w:rtl w:val="0"/>
        </w:rPr>
        <w:t xml:space="preserve">Ritonavir</w:t>
      </w:r>
    </w:p>
    <w:p w:rsidR="00000000" w:rsidDel="00000000" w:rsidP="00000000" w:rsidRDefault="00000000" w:rsidRPr="00000000" w14:paraId="00000013">
      <w:pPr>
        <w:numPr>
          <w:ilvl w:val="0"/>
          <w:numId w:val="1"/>
        </w:numPr>
        <w:ind w:left="720" w:hanging="360"/>
        <w:jc w:val="both"/>
        <w:rPr>
          <w:sz w:val="22"/>
          <w:szCs w:val="22"/>
        </w:rPr>
      </w:pPr>
      <w:r w:rsidDel="00000000" w:rsidR="00000000" w:rsidRPr="00000000">
        <w:rPr>
          <w:rFonts w:ascii="Century Gothic" w:cs="Century Gothic" w:eastAsia="Century Gothic" w:hAnsi="Century Gothic"/>
          <w:sz w:val="22"/>
          <w:szCs w:val="22"/>
          <w:rtl w:val="0"/>
        </w:rPr>
        <w:t xml:space="preserve">Atazanavir/Ritonavir (Reyataz/Norvir)</w:t>
      </w:r>
    </w:p>
    <w:p w:rsidR="00000000" w:rsidDel="00000000" w:rsidP="00000000" w:rsidRDefault="00000000" w:rsidRPr="00000000" w14:paraId="00000014">
      <w:pPr>
        <w:numPr>
          <w:ilvl w:val="0"/>
          <w:numId w:val="1"/>
        </w:numPr>
        <w:ind w:left="720" w:hanging="360"/>
        <w:jc w:val="both"/>
        <w:rPr>
          <w:sz w:val="22"/>
          <w:szCs w:val="22"/>
        </w:rPr>
      </w:pPr>
      <w:r w:rsidDel="00000000" w:rsidR="00000000" w:rsidRPr="00000000">
        <w:rPr>
          <w:rFonts w:ascii="Century Gothic" w:cs="Century Gothic" w:eastAsia="Century Gothic" w:hAnsi="Century Gothic"/>
          <w:sz w:val="22"/>
          <w:szCs w:val="22"/>
          <w:rtl w:val="0"/>
        </w:rPr>
        <w:t xml:space="preserve">Darunavir/Ritonavir (Prezista/Norvir)</w:t>
      </w:r>
    </w:p>
    <w:p w:rsidR="00000000" w:rsidDel="00000000" w:rsidP="00000000" w:rsidRDefault="00000000" w:rsidRPr="00000000" w14:paraId="00000015">
      <w:pPr>
        <w:numPr>
          <w:ilvl w:val="0"/>
          <w:numId w:val="1"/>
        </w:numPr>
        <w:ind w:left="720" w:hanging="360"/>
        <w:jc w:val="both"/>
        <w:rPr>
          <w:sz w:val="22"/>
          <w:szCs w:val="22"/>
        </w:rPr>
      </w:pPr>
      <w:r w:rsidDel="00000000" w:rsidR="00000000" w:rsidRPr="00000000">
        <w:rPr>
          <w:rFonts w:ascii="Century Gothic" w:cs="Century Gothic" w:eastAsia="Century Gothic" w:hAnsi="Century Gothic"/>
          <w:sz w:val="22"/>
          <w:szCs w:val="22"/>
          <w:rtl w:val="0"/>
        </w:rPr>
        <w:t xml:space="preserve">Lopinavir/Ritonavir (Kaletra)</w:t>
      </w:r>
      <w:r w:rsidDel="00000000" w:rsidR="00000000" w:rsidRPr="00000000">
        <w:rPr>
          <w:rtl w:val="0"/>
        </w:rPr>
      </w:r>
    </w:p>
    <w:p w:rsidR="00000000" w:rsidDel="00000000" w:rsidP="00000000" w:rsidRDefault="00000000" w:rsidRPr="00000000" w14:paraId="00000016">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7">
      <w:pPr>
        <w:widowControl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Une </w:t>
      </w:r>
      <w:r w:rsidDel="00000000" w:rsidR="00000000" w:rsidRPr="00000000">
        <w:rPr>
          <w:rFonts w:ascii="Century Gothic" w:cs="Century Gothic" w:eastAsia="Century Gothic" w:hAnsi="Century Gothic"/>
          <w:sz w:val="22"/>
          <w:szCs w:val="22"/>
          <w:rtl w:val="0"/>
        </w:rPr>
        <w:t xml:space="preserve">augmentation du risque d’effets indésirables </w:t>
      </w:r>
      <w:r w:rsidDel="00000000" w:rsidR="00000000" w:rsidRPr="00000000">
        <w:rPr>
          <w:rFonts w:ascii="Century Gothic" w:cs="Century Gothic" w:eastAsia="Century Gothic" w:hAnsi="Century Gothic"/>
          <w:sz w:val="22"/>
          <w:szCs w:val="22"/>
          <w:rtl w:val="0"/>
        </w:rPr>
        <w:t xml:space="preserve">peut survenir lors de l’administration concomitante du ticagrélor avec un antirétroviral nommé ci-haut. Voici pourquoi </w:t>
      </w:r>
      <w:r w:rsidDel="00000000" w:rsidR="00000000" w:rsidRPr="00000000">
        <w:rPr>
          <w:rFonts w:ascii="Century Gothic" w:cs="Century Gothic" w:eastAsia="Century Gothic" w:hAnsi="Century Gothic"/>
          <w:sz w:val="22"/>
          <w:szCs w:val="22"/>
          <w:vertAlign w:val="superscript"/>
          <w:rtl w:val="0"/>
        </w:rPr>
        <w:t xml:space="preserve">1-3,13</w:t>
      </w:r>
      <w:r w:rsidDel="00000000" w:rsidR="00000000" w:rsidRPr="00000000">
        <w:rPr>
          <w:rFonts w:ascii="Century Gothic" w:cs="Century Gothic" w:eastAsia="Century Gothic" w:hAnsi="Century Gothic"/>
          <w:sz w:val="22"/>
          <w:szCs w:val="22"/>
          <w:rtl w:val="0"/>
        </w:rPr>
        <w:t xml:space="preserve"> :</w:t>
      </w:r>
    </w:p>
    <w:p w:rsidR="00000000" w:rsidDel="00000000" w:rsidP="00000000" w:rsidRDefault="00000000" w:rsidRPr="00000000" w14:paraId="0000001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vertAlign w:val="baseline"/>
          <w:rtl w:val="0"/>
        </w:rPr>
        <w:t xml:space="preserve">Le cobicistat</w:t>
      </w:r>
      <w:r w:rsidDel="00000000" w:rsidR="00000000" w:rsidRPr="00000000">
        <w:rPr>
          <w:rFonts w:ascii="Century Gothic" w:cs="Century Gothic" w:eastAsia="Century Gothic" w:hAnsi="Century Gothic"/>
          <w:sz w:val="22"/>
          <w:szCs w:val="22"/>
          <w:rtl w:val="0"/>
        </w:rPr>
        <w:t xml:space="preserve"> et</w:t>
      </w:r>
      <w:r w:rsidDel="00000000" w:rsidR="00000000" w:rsidRPr="00000000">
        <w:rPr>
          <w:rFonts w:ascii="Century Gothic" w:cs="Century Gothic" w:eastAsia="Century Gothic" w:hAnsi="Century Gothic"/>
          <w:b w:val="0"/>
          <w:i w:val="0"/>
          <w:smallCaps w:val="0"/>
          <w:strike w:val="0"/>
          <w:color w:val="000000"/>
          <w:sz w:val="22"/>
          <w:szCs w:val="22"/>
          <w:u w:val="none"/>
          <w:vertAlign w:val="baseline"/>
          <w:rtl w:val="0"/>
        </w:rPr>
        <w:t xml:space="preserve"> le ritonavir sont des inhibiteurs du cytochrome (CYP) 3A4 et </w:t>
      </w:r>
      <w:r w:rsidDel="00000000" w:rsidR="00000000" w:rsidRPr="00000000">
        <w:rPr>
          <w:rFonts w:ascii="Century Gothic" w:cs="Century Gothic" w:eastAsia="Century Gothic" w:hAnsi="Century Gothic"/>
          <w:sz w:val="22"/>
          <w:szCs w:val="22"/>
          <w:rtl w:val="0"/>
        </w:rPr>
        <w:t xml:space="preserve">du transporteur P-glycoprotéine (P-gp).</w:t>
      </w:r>
      <w:r w:rsidDel="00000000" w:rsidR="00000000" w:rsidRPr="00000000">
        <w:rPr>
          <w:rtl w:val="0"/>
        </w:rPr>
      </w:r>
    </w:p>
    <w:p w:rsidR="00000000" w:rsidDel="00000000" w:rsidP="00000000" w:rsidRDefault="00000000" w:rsidRPr="00000000" w14:paraId="00000019">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2"/>
          <w:szCs w:val="22"/>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vertAlign w:val="baseline"/>
          <w:rtl w:val="0"/>
        </w:rPr>
        <w:t xml:space="preserve">Le ticagrelor est un substrat de ce CYP et de ce transporteur. Au CYP 3A4, </w:t>
      </w:r>
      <w:r w:rsidDel="00000000" w:rsidR="00000000" w:rsidRPr="00000000">
        <w:rPr>
          <w:rFonts w:ascii="Century Gothic" w:cs="Century Gothic" w:eastAsia="Century Gothic" w:hAnsi="Century Gothic"/>
          <w:sz w:val="22"/>
          <w:szCs w:val="22"/>
          <w:rtl w:val="0"/>
        </w:rPr>
        <w:t xml:space="preserve">cet antiplaquettaire</w:t>
      </w:r>
      <w:r w:rsidDel="00000000" w:rsidR="00000000" w:rsidRPr="00000000">
        <w:rPr>
          <w:rFonts w:ascii="Century Gothic" w:cs="Century Gothic" w:eastAsia="Century Gothic" w:hAnsi="Century Gothic"/>
          <w:b w:val="0"/>
          <w:i w:val="0"/>
          <w:smallCaps w:val="0"/>
          <w:strike w:val="0"/>
          <w:color w:val="000000"/>
          <w:sz w:val="22"/>
          <w:szCs w:val="22"/>
          <w:u w:val="none"/>
          <w:vertAlign w:val="baseline"/>
          <w:rtl w:val="0"/>
        </w:rPr>
        <w:t xml:space="preserve"> est transformé en un métabolite actif qui aurait la même efficacité que le ticagr</w:t>
      </w:r>
      <w:r w:rsidDel="00000000" w:rsidR="00000000" w:rsidRPr="00000000">
        <w:rPr>
          <w:rFonts w:ascii="Century Gothic" w:cs="Century Gothic" w:eastAsia="Century Gothic" w:hAnsi="Century Gothic"/>
          <w:sz w:val="22"/>
          <w:szCs w:val="22"/>
          <w:rtl w:val="0"/>
        </w:rPr>
        <w:t xml:space="preserve">é</w:t>
      </w:r>
      <w:r w:rsidDel="00000000" w:rsidR="00000000" w:rsidRPr="00000000">
        <w:rPr>
          <w:rFonts w:ascii="Century Gothic" w:cs="Century Gothic" w:eastAsia="Century Gothic" w:hAnsi="Century Gothic"/>
          <w:b w:val="0"/>
          <w:i w:val="0"/>
          <w:smallCaps w:val="0"/>
          <w:strike w:val="0"/>
          <w:color w:val="000000"/>
          <w:sz w:val="22"/>
          <w:szCs w:val="22"/>
          <w:u w:val="none"/>
          <w:vertAlign w:val="baseline"/>
          <w:rtl w:val="0"/>
        </w:rPr>
        <w:t xml:space="preserve">lor.</w:t>
      </w:r>
    </w:p>
    <w:p w:rsidR="00000000" w:rsidDel="00000000" w:rsidP="00000000" w:rsidRDefault="00000000" w:rsidRPr="00000000" w14:paraId="0000001A">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2"/>
          <w:szCs w:val="22"/>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vertAlign w:val="baseline"/>
          <w:rtl w:val="0"/>
        </w:rPr>
        <w:t xml:space="preserve">Cette inhibition risque d’accroître la concentration plasmatique de ticagr</w:t>
      </w:r>
      <w:r w:rsidDel="00000000" w:rsidR="00000000" w:rsidRPr="00000000">
        <w:rPr>
          <w:rFonts w:ascii="Century Gothic" w:cs="Century Gothic" w:eastAsia="Century Gothic" w:hAnsi="Century Gothic"/>
          <w:sz w:val="22"/>
          <w:szCs w:val="22"/>
          <w:rtl w:val="0"/>
        </w:rPr>
        <w:t xml:space="preserve">é</w:t>
      </w:r>
      <w:r w:rsidDel="00000000" w:rsidR="00000000" w:rsidRPr="00000000">
        <w:rPr>
          <w:rFonts w:ascii="Century Gothic" w:cs="Century Gothic" w:eastAsia="Century Gothic" w:hAnsi="Century Gothic"/>
          <w:b w:val="0"/>
          <w:i w:val="0"/>
          <w:smallCaps w:val="0"/>
          <w:strike w:val="0"/>
          <w:color w:val="000000"/>
          <w:sz w:val="22"/>
          <w:szCs w:val="22"/>
          <w:u w:val="none"/>
          <w:vertAlign w:val="baseline"/>
          <w:rtl w:val="0"/>
        </w:rPr>
        <w:t xml:space="preserve">lor et le risque d’effets indésirables. </w:t>
      </w:r>
      <w:r w:rsidDel="00000000" w:rsidR="00000000" w:rsidRPr="00000000">
        <w:rPr>
          <w:rFonts w:ascii="Century Gothic" w:cs="Century Gothic" w:eastAsia="Century Gothic" w:hAnsi="Century Gothic"/>
          <w:sz w:val="22"/>
          <w:szCs w:val="22"/>
          <w:rtl w:val="0"/>
        </w:rPr>
        <w:t xml:space="preserve"> </w:t>
      </w:r>
    </w:p>
    <w:p w:rsidR="00000000" w:rsidDel="00000000" w:rsidP="00000000" w:rsidRDefault="00000000" w:rsidRPr="00000000" w14:paraId="0000001B">
      <w:pPr>
        <w:widowControl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Une diminution de l’efficacité</w:t>
      </w: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Century Gothic" w:cs="Century Gothic" w:eastAsia="Century Gothic" w:hAnsi="Century Gothic"/>
          <w:sz w:val="22"/>
          <w:szCs w:val="22"/>
          <w:rtl w:val="0"/>
        </w:rPr>
        <w:t xml:space="preserve">peut survenir lors de l’administration concomitante du clopidogrel avec un antirétroviral nommé ci-haut. Voici pourquoi </w:t>
      </w:r>
      <w:r w:rsidDel="00000000" w:rsidR="00000000" w:rsidRPr="00000000">
        <w:rPr>
          <w:rFonts w:ascii="Century Gothic" w:cs="Century Gothic" w:eastAsia="Century Gothic" w:hAnsi="Century Gothic"/>
          <w:sz w:val="22"/>
          <w:szCs w:val="22"/>
          <w:vertAlign w:val="superscript"/>
          <w:rtl w:val="0"/>
        </w:rPr>
        <w:t xml:space="preserve">7,9-13</w:t>
      </w:r>
      <w:r w:rsidDel="00000000" w:rsidR="00000000" w:rsidRPr="00000000">
        <w:rPr>
          <w:rFonts w:ascii="Century Gothic" w:cs="Century Gothic" w:eastAsia="Century Gothic" w:hAnsi="Century Gothic"/>
          <w:sz w:val="22"/>
          <w:szCs w:val="22"/>
          <w:rtl w:val="0"/>
        </w:rPr>
        <w:t xml:space="preserve"> :</w:t>
      </w:r>
    </w:p>
    <w:p w:rsidR="00000000" w:rsidDel="00000000" w:rsidP="00000000" w:rsidRDefault="00000000" w:rsidRPr="00000000" w14:paraId="0000001C">
      <w:pPr>
        <w:widowControl w:val="0"/>
        <w:numPr>
          <w:ilvl w:val="0"/>
          <w:numId w:val="5"/>
        </w:numPr>
        <w:ind w:left="720" w:hanging="360"/>
        <w:jc w:val="both"/>
        <w:rPr>
          <w:sz w:val="22"/>
          <w:szCs w:val="22"/>
        </w:rPr>
      </w:pPr>
      <w:r w:rsidDel="00000000" w:rsidR="00000000" w:rsidRPr="00000000">
        <w:rPr>
          <w:rFonts w:ascii="Century Gothic" w:cs="Century Gothic" w:eastAsia="Century Gothic" w:hAnsi="Century Gothic"/>
          <w:sz w:val="22"/>
          <w:szCs w:val="22"/>
          <w:rtl w:val="0"/>
        </w:rPr>
        <w:t xml:space="preserve">Le cobicistat et le ritonavir sont des inhibiteurs du cytochrome (CYP) 3A4.</w:t>
      </w:r>
    </w:p>
    <w:p w:rsidR="00000000" w:rsidDel="00000000" w:rsidP="00000000" w:rsidRDefault="00000000" w:rsidRPr="00000000" w14:paraId="0000001D">
      <w:pPr>
        <w:widowControl w:val="0"/>
        <w:numPr>
          <w:ilvl w:val="1"/>
          <w:numId w:val="5"/>
        </w:numPr>
        <w:ind w:left="1440" w:hanging="360"/>
        <w:jc w:val="both"/>
        <w:rPr>
          <w:sz w:val="22"/>
          <w:szCs w:val="22"/>
        </w:rPr>
      </w:pPr>
      <w:r w:rsidDel="00000000" w:rsidR="00000000" w:rsidRPr="00000000">
        <w:rPr>
          <w:rFonts w:ascii="Century Gothic" w:cs="Century Gothic" w:eastAsia="Century Gothic" w:hAnsi="Century Gothic"/>
          <w:sz w:val="22"/>
          <w:szCs w:val="22"/>
          <w:rtl w:val="0"/>
        </w:rPr>
        <w:t xml:space="preserve">Le clopidogrel est un promédicament et est converti en métabolite actif via les CYP 3A4, 2B6, 2C19 et 1A2.</w:t>
      </w:r>
    </w:p>
    <w:p w:rsidR="00000000" w:rsidDel="00000000" w:rsidP="00000000" w:rsidRDefault="00000000" w:rsidRPr="00000000" w14:paraId="0000001E">
      <w:pPr>
        <w:widowControl w:val="0"/>
        <w:numPr>
          <w:ilvl w:val="1"/>
          <w:numId w:val="5"/>
        </w:numPr>
        <w:ind w:left="1440" w:hanging="360"/>
        <w:jc w:val="both"/>
        <w:rPr>
          <w:sz w:val="22"/>
          <w:szCs w:val="22"/>
        </w:rPr>
      </w:pPr>
      <w:r w:rsidDel="00000000" w:rsidR="00000000" w:rsidRPr="00000000">
        <w:rPr>
          <w:rFonts w:ascii="Century Gothic" w:cs="Century Gothic" w:eastAsia="Century Gothic" w:hAnsi="Century Gothic"/>
          <w:sz w:val="22"/>
          <w:szCs w:val="22"/>
          <w:rtl w:val="0"/>
        </w:rPr>
        <w:t xml:space="preserve">Cette inhibition risque de diminuer la formation du métabolite actif du clopidogrel et de diminuer son efficacité. </w:t>
      </w:r>
      <w:r w:rsidDel="00000000" w:rsidR="00000000" w:rsidRPr="00000000">
        <w:rPr>
          <w:rtl w:val="0"/>
        </w:rPr>
      </w:r>
    </w:p>
    <w:p w:rsidR="00000000" w:rsidDel="00000000" w:rsidP="00000000" w:rsidRDefault="00000000" w:rsidRPr="00000000" w14:paraId="0000001F">
      <w:pPr>
        <w:widowControl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0">
      <w:pPr>
        <w:widowControl w:val="0"/>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Pour de plus amples informations, voici des études évaluant les interactions ci-haut :</w:t>
      </w:r>
    </w:p>
    <w:p w:rsidR="00000000" w:rsidDel="00000000" w:rsidP="00000000" w:rsidRDefault="00000000" w:rsidRPr="00000000" w14:paraId="00000021">
      <w:pPr>
        <w:widowControl w:val="0"/>
        <w:ind w:left="0" w:firstLine="0"/>
        <w:jc w:val="both"/>
        <w:rPr>
          <w:rFonts w:ascii="Century Gothic" w:cs="Century Gothic" w:eastAsia="Century Gothic" w:hAnsi="Century Gothic"/>
          <w:sz w:val="22"/>
          <w:szCs w:val="22"/>
          <w:shd w:fill="fce5cd" w:val="clear"/>
        </w:rPr>
      </w:pPr>
      <w:bookmarkStart w:colFirst="0" w:colLast="0" w:name="_pilibn8dxl8o" w:id="0"/>
      <w:bookmarkEnd w:id="0"/>
      <w:r w:rsidDel="00000000" w:rsidR="00000000" w:rsidRPr="00000000">
        <w:rPr>
          <w:rtl w:val="0"/>
        </w:rPr>
      </w:r>
    </w:p>
    <w:p w:rsidR="00000000" w:rsidDel="00000000" w:rsidP="00000000" w:rsidRDefault="00000000" w:rsidRPr="00000000" w14:paraId="00000022">
      <w:pPr>
        <w:widowControl w:val="0"/>
        <w:ind w:left="0" w:firstLine="0"/>
        <w:jc w:val="both"/>
        <w:rPr>
          <w:rFonts w:ascii="Century Gothic" w:cs="Century Gothic" w:eastAsia="Century Gothic" w:hAnsi="Century Gothic"/>
          <w:i w:val="1"/>
          <w:sz w:val="22"/>
          <w:szCs w:val="22"/>
        </w:rPr>
      </w:pPr>
      <w:bookmarkStart w:colFirst="0" w:colLast="0" w:name="_gjdgxs" w:id="1"/>
      <w:bookmarkEnd w:id="1"/>
      <w:r w:rsidDel="00000000" w:rsidR="00000000" w:rsidRPr="00000000">
        <w:rPr>
          <w:rFonts w:ascii="Century Gothic" w:cs="Century Gothic" w:eastAsia="Century Gothic" w:hAnsi="Century Gothic"/>
          <w:b w:val="1"/>
          <w:i w:val="1"/>
          <w:sz w:val="22"/>
          <w:szCs w:val="22"/>
          <w:rtl w:val="0"/>
        </w:rPr>
        <w:t xml:space="preserve">Ticagrélor </w:t>
      </w:r>
      <w:r w:rsidDel="00000000" w:rsidR="00000000" w:rsidRPr="00000000">
        <w:rPr>
          <w:rtl w:val="0"/>
        </w:rPr>
      </w:r>
    </w:p>
    <w:p w:rsidR="00000000" w:rsidDel="00000000" w:rsidP="00000000" w:rsidRDefault="00000000" w:rsidRPr="00000000" w14:paraId="00000023">
      <w:pPr>
        <w:widowControl w:val="0"/>
        <w:numPr>
          <w:ilvl w:val="0"/>
          <w:numId w:val="3"/>
        </w:numPr>
        <w:ind w:left="720" w:hanging="360"/>
        <w:jc w:val="both"/>
        <w:rPr>
          <w:sz w:val="22"/>
          <w:szCs w:val="22"/>
        </w:rPr>
      </w:pPr>
      <w:r w:rsidDel="00000000" w:rsidR="00000000" w:rsidRPr="00000000">
        <w:rPr>
          <w:rFonts w:ascii="Century Gothic" w:cs="Century Gothic" w:eastAsia="Century Gothic" w:hAnsi="Century Gothic"/>
          <w:sz w:val="22"/>
          <w:szCs w:val="22"/>
          <w:rtl w:val="0"/>
        </w:rPr>
        <w:t xml:space="preserve">Tic</w:t>
      </w:r>
      <w:r w:rsidDel="00000000" w:rsidR="00000000" w:rsidRPr="00000000">
        <w:rPr>
          <w:rFonts w:ascii="Century Gothic" w:cs="Century Gothic" w:eastAsia="Century Gothic" w:hAnsi="Century Gothic"/>
          <w:sz w:val="22"/>
          <w:szCs w:val="22"/>
          <w:rtl w:val="0"/>
        </w:rPr>
        <w:t xml:space="preserve">agrélor + </w:t>
      </w:r>
      <w:r w:rsidDel="00000000" w:rsidR="00000000" w:rsidRPr="00000000">
        <w:rPr>
          <w:rFonts w:ascii="Century Gothic" w:cs="Century Gothic" w:eastAsia="Century Gothic" w:hAnsi="Century Gothic"/>
          <w:sz w:val="22"/>
          <w:szCs w:val="22"/>
          <w:rtl w:val="0"/>
        </w:rPr>
        <w:t xml:space="preserve">kétoconazole</w:t>
      </w:r>
      <w:r w:rsidDel="00000000" w:rsidR="00000000" w:rsidRPr="00000000">
        <w:rPr>
          <w:rFonts w:ascii="Century Gothic" w:cs="Century Gothic" w:eastAsia="Century Gothic" w:hAnsi="Century Gothic"/>
          <w:sz w:val="22"/>
          <w:szCs w:val="22"/>
          <w:rtl w:val="0"/>
        </w:rPr>
        <w:t xml:space="preserve"> (puissant inhibiteur du CYP 3A4) :</w:t>
      </w:r>
    </w:p>
    <w:p w:rsidR="00000000" w:rsidDel="00000000" w:rsidP="00000000" w:rsidRDefault="00000000" w:rsidRPr="00000000" w14:paraId="00000024">
      <w:pPr>
        <w:widowControl w:val="0"/>
        <w:numPr>
          <w:ilvl w:val="1"/>
          <w:numId w:val="3"/>
        </w:numPr>
        <w:ind w:left="1440" w:hanging="360"/>
        <w:jc w:val="both"/>
        <w:rPr>
          <w:sz w:val="22"/>
          <w:szCs w:val="22"/>
        </w:rPr>
      </w:pPr>
      <w:r w:rsidDel="00000000" w:rsidR="00000000" w:rsidRPr="00000000">
        <w:rPr>
          <w:rFonts w:ascii="Century Gothic" w:cs="Century Gothic" w:eastAsia="Century Gothic" w:hAnsi="Century Gothic"/>
          <w:sz w:val="22"/>
          <w:szCs w:val="22"/>
          <w:rtl w:val="0"/>
        </w:rPr>
        <w:t xml:space="preserve">↑ 7,3 fois la surface sous la courbe (SSC)</w:t>
      </w:r>
      <w:r w:rsidDel="00000000" w:rsidR="00000000" w:rsidRPr="00000000">
        <w:rPr>
          <w:rFonts w:ascii="Century Gothic" w:cs="Century Gothic" w:eastAsia="Century Gothic" w:hAnsi="Century Gothic"/>
          <w:sz w:val="22"/>
          <w:szCs w:val="22"/>
          <w:rtl w:val="0"/>
        </w:rPr>
        <w:t xml:space="preserve"> du ticagrélor et ↓ de 56% la SSC du métabolite actif.</w:t>
      </w:r>
      <w:r w:rsidDel="00000000" w:rsidR="00000000" w:rsidRPr="00000000">
        <w:rPr>
          <w:rFonts w:ascii="Century Gothic" w:cs="Century Gothic" w:eastAsia="Century Gothic" w:hAnsi="Century Gothic"/>
          <w:sz w:val="22"/>
          <w:szCs w:val="22"/>
          <w:vertAlign w:val="superscript"/>
          <w:rtl w:val="0"/>
        </w:rPr>
        <w:t xml:space="preserve">1, 3,13</w:t>
      </w:r>
      <w:r w:rsidDel="00000000" w:rsidR="00000000" w:rsidRPr="00000000">
        <w:rPr>
          <w:rtl w:val="0"/>
        </w:rPr>
      </w:r>
    </w:p>
    <w:p w:rsidR="00000000" w:rsidDel="00000000" w:rsidP="00000000" w:rsidRDefault="00000000" w:rsidRPr="00000000" w14:paraId="00000025">
      <w:pPr>
        <w:widowControl w:val="0"/>
        <w:numPr>
          <w:ilvl w:val="0"/>
          <w:numId w:val="3"/>
        </w:numPr>
        <w:ind w:left="720" w:hanging="360"/>
        <w:jc w:val="both"/>
        <w:rPr>
          <w:sz w:val="22"/>
          <w:szCs w:val="22"/>
        </w:rPr>
      </w:pPr>
      <w:r w:rsidDel="00000000" w:rsidR="00000000" w:rsidRPr="00000000">
        <w:rPr>
          <w:rFonts w:ascii="Century Gothic" w:cs="Century Gothic" w:eastAsia="Century Gothic" w:hAnsi="Century Gothic"/>
          <w:sz w:val="22"/>
          <w:szCs w:val="22"/>
          <w:rtl w:val="0"/>
        </w:rPr>
        <w:t xml:space="preserve">La monographie du ticagrélor spécifie que son association avec un inhibiteur puissant du CYP 3A4 est</w:t>
      </w:r>
      <w:r w:rsidDel="00000000" w:rsidR="00000000" w:rsidRPr="00000000">
        <w:rPr>
          <w:rFonts w:ascii="Century Gothic" w:cs="Century Gothic" w:eastAsia="Century Gothic" w:hAnsi="Century Gothic"/>
          <w:sz w:val="22"/>
          <w:szCs w:val="22"/>
          <w:rtl w:val="0"/>
        </w:rPr>
        <w:t xml:space="preserve"> contre-indiquée.</w:t>
      </w:r>
      <w:r w:rsidDel="00000000" w:rsidR="00000000" w:rsidRPr="00000000">
        <w:rPr>
          <w:rFonts w:ascii="Century Gothic" w:cs="Century Gothic" w:eastAsia="Century Gothic" w:hAnsi="Century Gothic"/>
          <w:sz w:val="22"/>
          <w:szCs w:val="22"/>
          <w:vertAlign w:val="superscript"/>
          <w:rtl w:val="0"/>
        </w:rPr>
        <w:t xml:space="preserve">1</w:t>
      </w:r>
      <w:r w:rsidDel="00000000" w:rsidR="00000000" w:rsidRPr="00000000">
        <w:rPr>
          <w:rtl w:val="0"/>
        </w:rPr>
      </w:r>
    </w:p>
    <w:p w:rsidR="00000000" w:rsidDel="00000000" w:rsidP="00000000" w:rsidRDefault="00000000" w:rsidRPr="00000000" w14:paraId="00000026">
      <w:pPr>
        <w:rPr>
          <w:rFonts w:ascii="Century Gothic" w:cs="Century Gothic" w:eastAsia="Century Gothic" w:hAnsi="Century Gothic"/>
          <w:sz w:val="22"/>
          <w:szCs w:val="22"/>
          <w:u w:val="single"/>
        </w:rPr>
      </w:pPr>
      <w:r w:rsidDel="00000000" w:rsidR="00000000" w:rsidRPr="00000000">
        <w:rPr>
          <w:rtl w:val="0"/>
        </w:rPr>
      </w:r>
    </w:p>
    <w:p w:rsidR="00000000" w:rsidDel="00000000" w:rsidP="00000000" w:rsidRDefault="00000000" w:rsidRPr="00000000" w14:paraId="00000027">
      <w:pPr>
        <w:widowControl w:val="0"/>
        <w:jc w:val="both"/>
        <w:rPr>
          <w:rFonts w:ascii="Century Gothic" w:cs="Century Gothic" w:eastAsia="Century Gothic" w:hAnsi="Century Gothic"/>
          <w:sz w:val="22"/>
          <w:szCs w:val="22"/>
          <w:vertAlign w:val="superscript"/>
        </w:rPr>
      </w:pPr>
      <w:r w:rsidDel="00000000" w:rsidR="00000000" w:rsidRPr="00000000">
        <w:rPr>
          <w:rFonts w:ascii="Century Gothic" w:cs="Century Gothic" w:eastAsia="Century Gothic" w:hAnsi="Century Gothic"/>
          <w:b w:val="1"/>
          <w:i w:val="1"/>
          <w:sz w:val="22"/>
          <w:szCs w:val="22"/>
          <w:rtl w:val="0"/>
        </w:rPr>
        <w:t xml:space="preserve">Clopidogrel</w:t>
      </w:r>
      <w:r w:rsidDel="00000000" w:rsidR="00000000" w:rsidRPr="00000000">
        <w:rPr>
          <w:rtl w:val="0"/>
        </w:rPr>
      </w:r>
    </w:p>
    <w:p w:rsidR="00000000" w:rsidDel="00000000" w:rsidP="00000000" w:rsidRDefault="00000000" w:rsidRPr="00000000" w14:paraId="00000028">
      <w:pPr>
        <w:widowControl w:val="0"/>
        <w:numPr>
          <w:ilvl w:val="0"/>
          <w:numId w:val="3"/>
        </w:numPr>
        <w:ind w:left="720" w:hanging="360"/>
        <w:jc w:val="both"/>
        <w:rPr>
          <w:sz w:val="22"/>
          <w:szCs w:val="22"/>
        </w:rPr>
      </w:pPr>
      <w:r w:rsidDel="00000000" w:rsidR="00000000" w:rsidRPr="00000000">
        <w:rPr>
          <w:rFonts w:ascii="Century Gothic" w:cs="Century Gothic" w:eastAsia="Century Gothic" w:hAnsi="Century Gothic"/>
          <w:sz w:val="22"/>
          <w:szCs w:val="22"/>
          <w:rtl w:val="0"/>
        </w:rPr>
        <w:t xml:space="preserve">Clopidogrel + ritonavir ou cobicistat patients séropositifs :</w:t>
      </w:r>
    </w:p>
    <w:p w:rsidR="00000000" w:rsidDel="00000000" w:rsidP="00000000" w:rsidRDefault="00000000" w:rsidRPr="00000000" w14:paraId="00000029">
      <w:pPr>
        <w:widowControl w:val="0"/>
        <w:numPr>
          <w:ilvl w:val="1"/>
          <w:numId w:val="3"/>
        </w:numPr>
        <w:ind w:left="1440" w:hanging="360"/>
        <w:jc w:val="both"/>
        <w:rPr>
          <w:sz w:val="22"/>
          <w:szCs w:val="22"/>
        </w:rPr>
      </w:pPr>
      <w:r w:rsidDel="00000000" w:rsidR="00000000" w:rsidRPr="00000000">
        <w:rPr>
          <w:rFonts w:ascii="Century Gothic" w:cs="Century Gothic" w:eastAsia="Century Gothic" w:hAnsi="Century Gothic"/>
          <w:sz w:val="22"/>
          <w:szCs w:val="22"/>
          <w:rtl w:val="0"/>
        </w:rPr>
        <w:t xml:space="preserve">↓ 69% de la SSC et de la Cmax du métabolite actif du clopidogrel.</w:t>
      </w:r>
      <w:r w:rsidDel="00000000" w:rsidR="00000000" w:rsidRPr="00000000">
        <w:rPr>
          <w:rFonts w:ascii="Century Gothic" w:cs="Century Gothic" w:eastAsia="Century Gothic" w:hAnsi="Century Gothic"/>
          <w:sz w:val="22"/>
          <w:szCs w:val="22"/>
          <w:vertAlign w:val="superscript"/>
          <w:rtl w:val="0"/>
        </w:rPr>
        <w:t xml:space="preserve">10,13</w:t>
      </w:r>
      <w:r w:rsidDel="00000000" w:rsidR="00000000" w:rsidRPr="00000000">
        <w:rPr>
          <w:rtl w:val="0"/>
        </w:rPr>
      </w:r>
    </w:p>
    <w:p w:rsidR="00000000" w:rsidDel="00000000" w:rsidP="00000000" w:rsidRDefault="00000000" w:rsidRPr="00000000" w14:paraId="0000002A">
      <w:pPr>
        <w:widowControl w:val="0"/>
        <w:numPr>
          <w:ilvl w:val="1"/>
          <w:numId w:val="3"/>
        </w:numPr>
        <w:ind w:left="1440" w:hanging="36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Inhibition plaquettaire insuffisante chez 44% des patients.</w:t>
      </w:r>
    </w:p>
    <w:p w:rsidR="00000000" w:rsidDel="00000000" w:rsidP="00000000" w:rsidRDefault="00000000" w:rsidRPr="00000000" w14:paraId="0000002B">
      <w:pPr>
        <w:widowControl w:val="0"/>
        <w:numPr>
          <w:ilvl w:val="0"/>
          <w:numId w:val="3"/>
        </w:numPr>
        <w:ind w:left="720" w:hanging="360"/>
        <w:jc w:val="both"/>
        <w:rPr>
          <w:sz w:val="22"/>
          <w:szCs w:val="22"/>
        </w:rPr>
      </w:pPr>
      <w:r w:rsidDel="00000000" w:rsidR="00000000" w:rsidRPr="00000000">
        <w:rPr>
          <w:rFonts w:ascii="Century Gothic" w:cs="Century Gothic" w:eastAsia="Century Gothic" w:hAnsi="Century Gothic"/>
          <w:sz w:val="22"/>
          <w:szCs w:val="22"/>
          <w:rtl w:val="0"/>
        </w:rPr>
        <w:t xml:space="preserve">Clopidogrel + ritonavir chez patients sains :</w:t>
      </w:r>
    </w:p>
    <w:p w:rsidR="00000000" w:rsidDel="00000000" w:rsidP="00000000" w:rsidRDefault="00000000" w:rsidRPr="00000000" w14:paraId="0000002C">
      <w:pPr>
        <w:widowControl w:val="0"/>
        <w:numPr>
          <w:ilvl w:val="1"/>
          <w:numId w:val="3"/>
        </w:numPr>
        <w:ind w:left="1440" w:hanging="360"/>
        <w:jc w:val="both"/>
        <w:rPr>
          <w:sz w:val="22"/>
          <w:szCs w:val="22"/>
        </w:rPr>
      </w:pPr>
      <w:r w:rsidDel="00000000" w:rsidR="00000000" w:rsidRPr="00000000">
        <w:rPr>
          <w:rFonts w:ascii="Century Gothic" w:cs="Century Gothic" w:eastAsia="Century Gothic" w:hAnsi="Century Gothic"/>
          <w:sz w:val="22"/>
          <w:szCs w:val="22"/>
          <w:rtl w:val="0"/>
        </w:rPr>
        <w:t xml:space="preserve">↓ 52% de la SSC et ↓ 49% de la Cmax du métabolite actif du clopidogrel.</w:t>
      </w:r>
      <w:r w:rsidDel="00000000" w:rsidR="00000000" w:rsidRPr="00000000">
        <w:rPr>
          <w:rFonts w:ascii="Century Gothic" w:cs="Century Gothic" w:eastAsia="Century Gothic" w:hAnsi="Century Gothic"/>
          <w:sz w:val="22"/>
          <w:szCs w:val="22"/>
          <w:vertAlign w:val="superscript"/>
          <w:rtl w:val="0"/>
        </w:rPr>
        <w:t xml:space="preserve">12,13</w:t>
      </w:r>
      <w:r w:rsidDel="00000000" w:rsidR="00000000" w:rsidRPr="00000000">
        <w:rPr>
          <w:rtl w:val="0"/>
        </w:rPr>
      </w:r>
    </w:p>
    <w:p w:rsidR="00000000" w:rsidDel="00000000" w:rsidP="00000000" w:rsidRDefault="00000000" w:rsidRPr="00000000" w14:paraId="0000002D">
      <w:pPr>
        <w:widowControl w:val="0"/>
        <w:numPr>
          <w:ilvl w:val="1"/>
          <w:numId w:val="3"/>
        </w:numPr>
        <w:ind w:left="1440" w:hanging="36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30% de l’inhibition plaquettaire moyenne.</w:t>
      </w:r>
    </w:p>
    <w:p w:rsidR="00000000" w:rsidDel="00000000" w:rsidP="00000000" w:rsidRDefault="00000000" w:rsidRPr="00000000" w14:paraId="0000002E">
      <w:pPr>
        <w:widowControl w:val="0"/>
        <w:numPr>
          <w:ilvl w:val="0"/>
          <w:numId w:val="3"/>
        </w:numPr>
        <w:ind w:left="720" w:hanging="360"/>
        <w:jc w:val="both"/>
        <w:rPr>
          <w:sz w:val="22"/>
          <w:szCs w:val="22"/>
        </w:rPr>
      </w:pPr>
      <w:r w:rsidDel="00000000" w:rsidR="00000000" w:rsidRPr="00000000">
        <w:rPr>
          <w:rFonts w:ascii="Century Gothic" w:cs="Century Gothic" w:eastAsia="Century Gothic" w:hAnsi="Century Gothic"/>
          <w:sz w:val="22"/>
          <w:szCs w:val="22"/>
          <w:rtl w:val="0"/>
        </w:rPr>
        <w:t xml:space="preserve">Rapport de cas d'un patient de 45 ans séropositif et traité avec darunavir/ritonavir et clopidogrel et démontrant une diminution de l’efficacité clinique du clopidogrel.</w:t>
      </w:r>
      <w:r w:rsidDel="00000000" w:rsidR="00000000" w:rsidRPr="00000000">
        <w:rPr>
          <w:rFonts w:ascii="Century Gothic" w:cs="Century Gothic" w:eastAsia="Century Gothic" w:hAnsi="Century Gothic"/>
          <w:sz w:val="22"/>
          <w:szCs w:val="22"/>
          <w:vertAlign w:val="superscript"/>
          <w:rtl w:val="0"/>
        </w:rPr>
        <w:t xml:space="preserve">11,13</w:t>
      </w:r>
      <w:r w:rsidDel="00000000" w:rsidR="00000000" w:rsidRPr="00000000">
        <w:rPr>
          <w:rtl w:val="0"/>
        </w:rPr>
      </w:r>
    </w:p>
    <w:p w:rsidR="00000000" w:rsidDel="00000000" w:rsidP="00000000" w:rsidRDefault="00000000" w:rsidRPr="00000000" w14:paraId="0000002F">
      <w:pPr>
        <w:widowControl w:val="0"/>
        <w:ind w:left="0"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0">
      <w:pPr>
        <w:widowControl w:val="0"/>
        <w:jc w:val="both"/>
        <w:rPr>
          <w:rFonts w:ascii="Century Gothic" w:cs="Century Gothic" w:eastAsia="Century Gothic" w:hAnsi="Century Gothic"/>
          <w:b w:val="1"/>
          <w:i w:val="1"/>
          <w:sz w:val="22"/>
          <w:szCs w:val="22"/>
          <w:vertAlign w:val="superscript"/>
        </w:rPr>
      </w:pPr>
      <w:r w:rsidDel="00000000" w:rsidR="00000000" w:rsidRPr="00000000">
        <w:rPr>
          <w:rFonts w:ascii="Century Gothic" w:cs="Century Gothic" w:eastAsia="Century Gothic" w:hAnsi="Century Gothic"/>
          <w:b w:val="1"/>
          <w:i w:val="1"/>
          <w:sz w:val="22"/>
          <w:szCs w:val="22"/>
          <w:rtl w:val="0"/>
        </w:rPr>
        <w:t xml:space="preserve">Prasugrel</w:t>
      </w:r>
      <w:r w:rsidDel="00000000" w:rsidR="00000000" w:rsidRPr="00000000">
        <w:rPr>
          <w:rtl w:val="0"/>
        </w:rPr>
      </w:r>
    </w:p>
    <w:p w:rsidR="00000000" w:rsidDel="00000000" w:rsidP="00000000" w:rsidRDefault="00000000" w:rsidRPr="00000000" w14:paraId="00000031">
      <w:pPr>
        <w:widowControl w:val="0"/>
        <w:rPr>
          <w:rFonts w:ascii="Century Gothic" w:cs="Century Gothic" w:eastAsia="Century Gothic" w:hAnsi="Century Gothic"/>
          <w:sz w:val="22"/>
          <w:szCs w:val="22"/>
          <w:shd w:fill="fce5cd" w:val="clear"/>
          <w:vertAlign w:val="superscript"/>
        </w:rPr>
      </w:pPr>
      <w:r w:rsidDel="00000000" w:rsidR="00000000" w:rsidRPr="00000000">
        <w:rPr>
          <w:rFonts w:ascii="Century Gothic" w:cs="Century Gothic" w:eastAsia="Century Gothic" w:hAnsi="Century Gothic"/>
          <w:sz w:val="22"/>
          <w:szCs w:val="22"/>
          <w:rtl w:val="0"/>
        </w:rPr>
        <w:t xml:space="preserve">Le prasugrel est un promédicament principalement transformé en métabolite actif via le CYP 3A4 et le 2B6</w:t>
      </w:r>
      <w:r w:rsidDel="00000000" w:rsidR="00000000" w:rsidRPr="00000000">
        <w:rPr>
          <w:rFonts w:ascii="Century Gothic" w:cs="Century Gothic" w:eastAsia="Century Gothic" w:hAnsi="Century Gothic"/>
          <w:sz w:val="22"/>
          <w:szCs w:val="22"/>
          <w:rtl w:val="0"/>
        </w:rPr>
        <w:t xml:space="preserve">.</w:t>
      </w:r>
      <w:r w:rsidDel="00000000" w:rsidR="00000000" w:rsidRPr="00000000">
        <w:rPr>
          <w:rFonts w:ascii="Century Gothic" w:cs="Century Gothic" w:eastAsia="Century Gothic" w:hAnsi="Century Gothic"/>
          <w:sz w:val="22"/>
          <w:szCs w:val="22"/>
          <w:rtl w:val="0"/>
        </w:rPr>
        <w:t xml:space="preserve"> Une inhibition du CYP 3A4 peut empêcher l’activation du promédicament et ainsi diminuer son efficacité.</w:t>
      </w:r>
      <w:r w:rsidDel="00000000" w:rsidR="00000000" w:rsidRPr="00000000">
        <w:rPr>
          <w:rFonts w:ascii="Century Gothic" w:cs="Century Gothic" w:eastAsia="Century Gothic" w:hAnsi="Century Gothic"/>
          <w:sz w:val="22"/>
          <w:szCs w:val="22"/>
          <w:vertAlign w:val="superscript"/>
          <w:rtl w:val="0"/>
        </w:rPr>
        <w:t xml:space="preserve">4, 5, 6, 8, 13</w:t>
      </w:r>
      <w:r w:rsidDel="00000000" w:rsidR="00000000" w:rsidRPr="00000000">
        <w:rPr>
          <w:rtl w:val="0"/>
        </w:rPr>
      </w:r>
    </w:p>
    <w:p w:rsidR="00000000" w:rsidDel="00000000" w:rsidP="00000000" w:rsidRDefault="00000000" w:rsidRPr="00000000" w14:paraId="00000032">
      <w:pPr>
        <w:widowControl w:val="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Cependant les études pharmacocinétiques in vitro et chez des volontaires sains et séropositifs ne semblent pas démontrer d’impact cliniquement significatif lors de l’utilisation d’un inhibiteur du CYP 3A4 avec le prasugrel. </w:t>
      </w:r>
    </w:p>
    <w:p w:rsidR="00000000" w:rsidDel="00000000" w:rsidP="00000000" w:rsidRDefault="00000000" w:rsidRPr="00000000" w14:paraId="00000033">
      <w:pPr>
        <w:widowControl w:val="0"/>
        <w:numPr>
          <w:ilvl w:val="0"/>
          <w:numId w:val="3"/>
        </w:numPr>
        <w:ind w:left="720" w:hanging="360"/>
        <w:jc w:val="both"/>
        <w:rPr>
          <w:sz w:val="22"/>
          <w:szCs w:val="22"/>
        </w:rPr>
      </w:pPr>
      <w:r w:rsidDel="00000000" w:rsidR="00000000" w:rsidRPr="00000000">
        <w:rPr>
          <w:rFonts w:ascii="Century Gothic" w:cs="Century Gothic" w:eastAsia="Century Gothic" w:hAnsi="Century Gothic"/>
          <w:sz w:val="22"/>
          <w:szCs w:val="22"/>
          <w:rtl w:val="0"/>
        </w:rPr>
        <w:t xml:space="preserve">Prasugrel + ritonavir ou cobicistat patients séropositifs :</w:t>
      </w:r>
    </w:p>
    <w:p w:rsidR="00000000" w:rsidDel="00000000" w:rsidP="00000000" w:rsidRDefault="00000000" w:rsidRPr="00000000" w14:paraId="00000034">
      <w:pPr>
        <w:widowControl w:val="0"/>
        <w:numPr>
          <w:ilvl w:val="1"/>
          <w:numId w:val="3"/>
        </w:numPr>
        <w:ind w:left="1440" w:hanging="360"/>
        <w:jc w:val="both"/>
        <w:rPr>
          <w:sz w:val="22"/>
          <w:szCs w:val="22"/>
        </w:rPr>
      </w:pPr>
      <w:r w:rsidDel="00000000" w:rsidR="00000000" w:rsidRPr="00000000">
        <w:rPr>
          <w:rFonts w:ascii="Century Gothic" w:cs="Century Gothic" w:eastAsia="Century Gothic" w:hAnsi="Century Gothic"/>
          <w:sz w:val="22"/>
          <w:szCs w:val="22"/>
          <w:rtl w:val="0"/>
        </w:rPr>
        <w:t xml:space="preserve">↓ 52% de la SSC et ↓ 41% de la Cmax du métabolite actif du clopidogrel.</w:t>
      </w:r>
      <w:r w:rsidDel="00000000" w:rsidR="00000000" w:rsidRPr="00000000">
        <w:rPr>
          <w:rFonts w:ascii="Century Gothic" w:cs="Century Gothic" w:eastAsia="Century Gothic" w:hAnsi="Century Gothic"/>
          <w:sz w:val="22"/>
          <w:szCs w:val="22"/>
          <w:vertAlign w:val="superscript"/>
          <w:rtl w:val="0"/>
        </w:rPr>
        <w:t xml:space="preserve">10,13</w:t>
      </w:r>
      <w:r w:rsidDel="00000000" w:rsidR="00000000" w:rsidRPr="00000000">
        <w:rPr>
          <w:rtl w:val="0"/>
        </w:rPr>
      </w:r>
    </w:p>
    <w:p w:rsidR="00000000" w:rsidDel="00000000" w:rsidP="00000000" w:rsidRDefault="00000000" w:rsidRPr="00000000" w14:paraId="00000035">
      <w:pPr>
        <w:widowControl w:val="0"/>
        <w:numPr>
          <w:ilvl w:val="1"/>
          <w:numId w:val="3"/>
        </w:numPr>
        <w:ind w:left="1440" w:hanging="36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Inhibition plaquettaire puissante chez tous les patients.</w:t>
      </w:r>
    </w:p>
    <w:p w:rsidR="00000000" w:rsidDel="00000000" w:rsidP="00000000" w:rsidRDefault="00000000" w:rsidRPr="00000000" w14:paraId="00000036">
      <w:pPr>
        <w:widowControl w:val="0"/>
        <w:numPr>
          <w:ilvl w:val="0"/>
          <w:numId w:val="3"/>
        </w:numPr>
        <w:ind w:left="720" w:hanging="360"/>
        <w:jc w:val="both"/>
        <w:rPr>
          <w:sz w:val="22"/>
          <w:szCs w:val="22"/>
        </w:rPr>
      </w:pPr>
      <w:r w:rsidDel="00000000" w:rsidR="00000000" w:rsidRPr="00000000">
        <w:rPr>
          <w:rFonts w:ascii="Century Gothic" w:cs="Century Gothic" w:eastAsia="Century Gothic" w:hAnsi="Century Gothic"/>
          <w:sz w:val="22"/>
          <w:szCs w:val="22"/>
          <w:rtl w:val="0"/>
        </w:rPr>
        <w:t xml:space="preserve">Rapport de cas d'un patient de 45 ans séropositif et traité avec darunavir/ritonavir et démontrant une diminution de l’efficacité clinique du clopidogrel, ensuite remplacé par prasugrel sans signe de diminution de l’efficacité.</w:t>
      </w:r>
      <w:r w:rsidDel="00000000" w:rsidR="00000000" w:rsidRPr="00000000">
        <w:rPr>
          <w:rFonts w:ascii="Century Gothic" w:cs="Century Gothic" w:eastAsia="Century Gothic" w:hAnsi="Century Gothic"/>
          <w:sz w:val="22"/>
          <w:szCs w:val="22"/>
          <w:vertAlign w:val="superscript"/>
          <w:rtl w:val="0"/>
        </w:rPr>
        <w:t xml:space="preserve">11,13</w:t>
      </w:r>
    </w:p>
    <w:p w:rsidR="00000000" w:rsidDel="00000000" w:rsidP="00000000" w:rsidRDefault="00000000" w:rsidRPr="00000000" w14:paraId="00000037">
      <w:pPr>
        <w:widowControl w:val="0"/>
        <w:numPr>
          <w:ilvl w:val="0"/>
          <w:numId w:val="3"/>
        </w:numPr>
        <w:ind w:left="720" w:hanging="360"/>
        <w:jc w:val="both"/>
        <w:rPr>
          <w:sz w:val="22"/>
          <w:szCs w:val="22"/>
        </w:rPr>
      </w:pPr>
      <w:r w:rsidDel="00000000" w:rsidR="00000000" w:rsidRPr="00000000">
        <w:rPr>
          <w:rFonts w:ascii="Century Gothic" w:cs="Century Gothic" w:eastAsia="Century Gothic" w:hAnsi="Century Gothic"/>
          <w:sz w:val="22"/>
          <w:szCs w:val="22"/>
          <w:rtl w:val="0"/>
        </w:rPr>
        <w:t xml:space="preserve">Prasugrel + ritonavir chez des volontaires sains : </w:t>
      </w:r>
    </w:p>
    <w:p w:rsidR="00000000" w:rsidDel="00000000" w:rsidP="00000000" w:rsidRDefault="00000000" w:rsidRPr="00000000" w14:paraId="00000038">
      <w:pPr>
        <w:widowControl w:val="0"/>
        <w:numPr>
          <w:ilvl w:val="1"/>
          <w:numId w:val="3"/>
        </w:numPr>
        <w:ind w:left="1440" w:hanging="360"/>
        <w:jc w:val="both"/>
        <w:rPr>
          <w:sz w:val="22"/>
          <w:szCs w:val="22"/>
        </w:rPr>
      </w:pPr>
      <w:r w:rsidDel="00000000" w:rsidR="00000000" w:rsidRPr="00000000">
        <w:rPr>
          <w:rFonts w:ascii="Century Gothic" w:cs="Century Gothic" w:eastAsia="Century Gothic" w:hAnsi="Century Gothic"/>
          <w:sz w:val="22"/>
          <w:szCs w:val="22"/>
          <w:rtl w:val="0"/>
        </w:rPr>
        <w:t xml:space="preserve">↓ d’environ 40 % de la SSC du métabolite actif du prasugrel.</w:t>
      </w:r>
      <w:r w:rsidDel="00000000" w:rsidR="00000000" w:rsidRPr="00000000">
        <w:rPr>
          <w:rFonts w:ascii="Century Gothic" w:cs="Century Gothic" w:eastAsia="Century Gothic" w:hAnsi="Century Gothic"/>
          <w:sz w:val="22"/>
          <w:szCs w:val="22"/>
          <w:vertAlign w:val="superscript"/>
          <w:rtl w:val="0"/>
        </w:rPr>
        <w:t xml:space="preserve">2, 5, 13</w:t>
      </w:r>
    </w:p>
    <w:p w:rsidR="00000000" w:rsidDel="00000000" w:rsidP="00000000" w:rsidRDefault="00000000" w:rsidRPr="00000000" w14:paraId="00000039">
      <w:pPr>
        <w:widowControl w:val="0"/>
        <w:numPr>
          <w:ilvl w:val="0"/>
          <w:numId w:val="3"/>
        </w:numPr>
        <w:ind w:left="720" w:hanging="360"/>
        <w:jc w:val="both"/>
        <w:rPr>
          <w:sz w:val="22"/>
          <w:szCs w:val="22"/>
        </w:rPr>
      </w:pPr>
      <w:r w:rsidDel="00000000" w:rsidR="00000000" w:rsidRPr="00000000">
        <w:rPr>
          <w:rFonts w:ascii="Century Gothic" w:cs="Century Gothic" w:eastAsia="Century Gothic" w:hAnsi="Century Gothic"/>
          <w:sz w:val="22"/>
          <w:szCs w:val="22"/>
          <w:rtl w:val="0"/>
        </w:rPr>
        <w:t xml:space="preserve">Prasugrel + kétoconazole (puissant inhibiteur du CYP 3A4) :</w:t>
      </w:r>
    </w:p>
    <w:p w:rsidR="00000000" w:rsidDel="00000000" w:rsidP="00000000" w:rsidRDefault="00000000" w:rsidRPr="00000000" w14:paraId="0000003A">
      <w:pPr>
        <w:widowControl w:val="0"/>
        <w:numPr>
          <w:ilvl w:val="1"/>
          <w:numId w:val="3"/>
        </w:numPr>
        <w:ind w:left="1440" w:hanging="36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Le kétoconazole n’a pas eu d’impact significatif sur la SSC du métabolite actif du prasugrel.</w:t>
      </w:r>
      <w:r w:rsidDel="00000000" w:rsidR="00000000" w:rsidRPr="00000000">
        <w:rPr>
          <w:rFonts w:ascii="Century Gothic" w:cs="Century Gothic" w:eastAsia="Century Gothic" w:hAnsi="Century Gothic"/>
          <w:sz w:val="22"/>
          <w:szCs w:val="22"/>
          <w:vertAlign w:val="superscript"/>
          <w:rtl w:val="0"/>
        </w:rPr>
        <w:t xml:space="preserve">4, 7, 8, 13</w:t>
      </w:r>
    </w:p>
    <w:p w:rsidR="00000000" w:rsidDel="00000000" w:rsidP="00000000" w:rsidRDefault="00000000" w:rsidRPr="00000000" w14:paraId="0000003B">
      <w:pPr>
        <w:widowControl w:val="0"/>
        <w:numPr>
          <w:ilvl w:val="1"/>
          <w:numId w:val="3"/>
        </w:numPr>
        <w:ind w:left="1440" w:hanging="360"/>
        <w:jc w:val="both"/>
        <w:rPr>
          <w:sz w:val="22"/>
          <w:szCs w:val="22"/>
        </w:rPr>
      </w:pPr>
      <w:r w:rsidDel="00000000" w:rsidR="00000000" w:rsidRPr="00000000">
        <w:rPr>
          <w:rFonts w:ascii="Century Gothic" w:cs="Century Gothic" w:eastAsia="Century Gothic" w:hAnsi="Century Gothic"/>
          <w:sz w:val="22"/>
          <w:szCs w:val="22"/>
          <w:rtl w:val="0"/>
        </w:rPr>
        <w:t xml:space="preserve">Dans une étude</w:t>
      </w:r>
      <w:r w:rsidDel="00000000" w:rsidR="00000000" w:rsidRPr="00000000">
        <w:rPr>
          <w:rFonts w:ascii="Century Gothic" w:cs="Century Gothic" w:eastAsia="Century Gothic" w:hAnsi="Century Gothic"/>
          <w:i w:val="1"/>
          <w:sz w:val="22"/>
          <w:szCs w:val="22"/>
          <w:rtl w:val="0"/>
        </w:rPr>
        <w:t xml:space="preserve"> in vitro</w:t>
      </w:r>
      <w:r w:rsidDel="00000000" w:rsidR="00000000" w:rsidRPr="00000000">
        <w:rPr>
          <w:rFonts w:ascii="Century Gothic" w:cs="Century Gothic" w:eastAsia="Century Gothic" w:hAnsi="Century Gothic"/>
          <w:sz w:val="22"/>
          <w:szCs w:val="22"/>
          <w:rtl w:val="0"/>
        </w:rPr>
        <w:t xml:space="preserve">, la formation du métabolite actif du prasugrel ↓ d’environ 45 % lors de l’utilisation du kétoconazole.</w:t>
      </w:r>
      <w:r w:rsidDel="00000000" w:rsidR="00000000" w:rsidRPr="00000000">
        <w:rPr>
          <w:rFonts w:ascii="Century Gothic" w:cs="Century Gothic" w:eastAsia="Century Gothic" w:hAnsi="Century Gothic"/>
          <w:sz w:val="22"/>
          <w:szCs w:val="22"/>
          <w:vertAlign w:val="superscript"/>
          <w:rtl w:val="0"/>
        </w:rPr>
        <w:t xml:space="preserve">6, 13</w:t>
      </w:r>
    </w:p>
    <w:p w:rsidR="00000000" w:rsidDel="00000000" w:rsidP="00000000" w:rsidRDefault="00000000" w:rsidRPr="00000000" w14:paraId="0000003C">
      <w:pPr>
        <w:widowControl w:val="0"/>
        <w:numPr>
          <w:ilvl w:val="0"/>
          <w:numId w:val="3"/>
        </w:numPr>
        <w:ind w:left="720" w:hanging="360"/>
        <w:jc w:val="both"/>
        <w:rPr>
          <w:sz w:val="22"/>
          <w:szCs w:val="22"/>
        </w:rPr>
      </w:pPr>
      <w:r w:rsidDel="00000000" w:rsidR="00000000" w:rsidRPr="00000000">
        <w:rPr>
          <w:rFonts w:ascii="Century Gothic" w:cs="Century Gothic" w:eastAsia="Century Gothic" w:hAnsi="Century Gothic"/>
          <w:sz w:val="22"/>
          <w:szCs w:val="22"/>
          <w:rtl w:val="0"/>
        </w:rPr>
        <w:t xml:space="preserve">La monographie du prasugrel rapporte l’absence d’interaction significative avec les inhibiteurs du CYP 3A4.</w:t>
      </w:r>
      <w:r w:rsidDel="00000000" w:rsidR="00000000" w:rsidRPr="00000000">
        <w:rPr>
          <w:rFonts w:ascii="Century Gothic" w:cs="Century Gothic" w:eastAsia="Century Gothic" w:hAnsi="Century Gothic"/>
          <w:sz w:val="22"/>
          <w:szCs w:val="22"/>
          <w:vertAlign w:val="superscript"/>
          <w:rtl w:val="0"/>
        </w:rPr>
        <w:t xml:space="preserve">4, 13</w:t>
      </w:r>
    </w:p>
    <w:p w:rsidR="00000000" w:rsidDel="00000000" w:rsidP="00000000" w:rsidRDefault="00000000" w:rsidRPr="00000000" w14:paraId="0000003D">
      <w:pPr>
        <w:jc w:val="both"/>
        <w:rPr>
          <w:rFonts w:ascii="Century Gothic" w:cs="Century Gothic" w:eastAsia="Century Gothic" w:hAnsi="Century Gothic"/>
          <w:sz w:val="22"/>
          <w:szCs w:val="22"/>
          <w:vertAlign w:val="superscript"/>
        </w:rPr>
      </w:pPr>
      <w:r w:rsidDel="00000000" w:rsidR="00000000" w:rsidRPr="00000000">
        <w:rPr>
          <w:rtl w:val="0"/>
        </w:rPr>
      </w:r>
    </w:p>
    <w:p w:rsidR="00000000" w:rsidDel="00000000" w:rsidP="00000000" w:rsidRDefault="00000000" w:rsidRPr="00000000" w14:paraId="0000003E">
      <w:pPr>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Options thérapeutiques possibles : </w:t>
      </w:r>
    </w:p>
    <w:p w:rsidR="00000000" w:rsidDel="00000000" w:rsidP="00000000" w:rsidRDefault="00000000" w:rsidRPr="00000000" w14:paraId="0000003F">
      <w:pPr>
        <w:jc w:val="both"/>
        <w:rPr>
          <w:rFonts w:ascii="Century Gothic" w:cs="Century Gothic" w:eastAsia="Century Gothic" w:hAnsi="Century Gothic"/>
          <w:b w:val="1"/>
          <w:sz w:val="22"/>
          <w:szCs w:val="22"/>
          <w:shd w:fill="fce5cd" w:val="clear"/>
        </w:rPr>
      </w:pPr>
      <w:r w:rsidDel="00000000" w:rsidR="00000000" w:rsidRPr="00000000">
        <w:rPr>
          <w:rtl w:val="0"/>
        </w:rPr>
      </w:r>
    </w:p>
    <w:p w:rsidR="00000000" w:rsidDel="00000000" w:rsidP="00000000" w:rsidRDefault="00000000" w:rsidRPr="00000000" w14:paraId="00000040">
      <w:pPr>
        <w:jc w:val="both"/>
        <w:rPr>
          <w:rFonts w:ascii="Century Gothic" w:cs="Century Gothic" w:eastAsia="Century Gothic" w:hAnsi="Century Gothic"/>
          <w:b w:val="1"/>
          <w:i w:val="1"/>
          <w:sz w:val="22"/>
          <w:szCs w:val="22"/>
        </w:rPr>
      </w:pPr>
      <w:r w:rsidDel="00000000" w:rsidR="00000000" w:rsidRPr="00000000">
        <w:rPr>
          <w:rFonts w:ascii="Century Gothic" w:cs="Century Gothic" w:eastAsia="Century Gothic" w:hAnsi="Century Gothic"/>
          <w:b w:val="1"/>
          <w:i w:val="1"/>
          <w:sz w:val="22"/>
          <w:szCs w:val="22"/>
          <w:rtl w:val="0"/>
        </w:rPr>
        <w:t xml:space="preserve">Ticagrélor</w:t>
      </w:r>
    </w:p>
    <w:p w:rsidR="00000000" w:rsidDel="00000000" w:rsidP="00000000" w:rsidRDefault="00000000" w:rsidRPr="00000000" w14:paraId="00000041">
      <w:pPr>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*Ticagrélor est contre-indiqué avec les inhibiteurs du CYP 3A4*</w:t>
      </w:r>
    </w:p>
    <w:p w:rsidR="00000000" w:rsidDel="00000000" w:rsidP="00000000" w:rsidRDefault="00000000" w:rsidRPr="00000000" w14:paraId="00000042">
      <w:pPr>
        <w:ind w:left="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Solution de rechange </w:t>
      </w:r>
      <w:r w:rsidDel="00000000" w:rsidR="00000000" w:rsidRPr="00000000">
        <w:rPr>
          <w:rFonts w:ascii="Century Gothic" w:cs="Century Gothic" w:eastAsia="Century Gothic" w:hAnsi="Century Gothic"/>
          <w:sz w:val="22"/>
          <w:szCs w:val="22"/>
          <w:rtl w:val="0"/>
        </w:rPr>
        <w:t xml:space="preserve">: </w:t>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vertAlign w:val="baseline"/>
          <w:rtl w:val="0"/>
        </w:rPr>
        <w:t xml:space="preserve">Prasugrel (Efficient)</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5">
      <w:pPr>
        <w:jc w:val="both"/>
        <w:rPr>
          <w:rFonts w:ascii="Century Gothic" w:cs="Century Gothic" w:eastAsia="Century Gothic" w:hAnsi="Century Gothic"/>
          <w:b w:val="1"/>
          <w:i w:val="1"/>
          <w:sz w:val="22"/>
          <w:szCs w:val="22"/>
        </w:rPr>
      </w:pPr>
      <w:r w:rsidDel="00000000" w:rsidR="00000000" w:rsidRPr="00000000">
        <w:rPr>
          <w:rtl w:val="0"/>
        </w:rPr>
      </w:r>
    </w:p>
    <w:p w:rsidR="00000000" w:rsidDel="00000000" w:rsidP="00000000" w:rsidRDefault="00000000" w:rsidRPr="00000000" w14:paraId="00000046">
      <w:pPr>
        <w:jc w:val="both"/>
        <w:rPr>
          <w:rFonts w:ascii="Century Gothic" w:cs="Century Gothic" w:eastAsia="Century Gothic" w:hAnsi="Century Gothic"/>
          <w:b w:val="1"/>
          <w:i w:val="1"/>
          <w:sz w:val="22"/>
          <w:szCs w:val="22"/>
        </w:rPr>
      </w:pPr>
      <w:r w:rsidDel="00000000" w:rsidR="00000000" w:rsidRPr="00000000">
        <w:rPr>
          <w:rtl w:val="0"/>
        </w:rPr>
      </w:r>
    </w:p>
    <w:p w:rsidR="00000000" w:rsidDel="00000000" w:rsidP="00000000" w:rsidRDefault="00000000" w:rsidRPr="00000000" w14:paraId="00000047">
      <w:pPr>
        <w:jc w:val="both"/>
        <w:rPr>
          <w:rFonts w:ascii="Century Gothic" w:cs="Century Gothic" w:eastAsia="Century Gothic" w:hAnsi="Century Gothic"/>
          <w:b w:val="1"/>
          <w:i w:val="1"/>
          <w:sz w:val="22"/>
          <w:szCs w:val="22"/>
        </w:rPr>
      </w:pPr>
      <w:r w:rsidDel="00000000" w:rsidR="00000000" w:rsidRPr="00000000">
        <w:rPr>
          <w:rFonts w:ascii="Century Gothic" w:cs="Century Gothic" w:eastAsia="Century Gothic" w:hAnsi="Century Gothic"/>
          <w:b w:val="1"/>
          <w:i w:val="1"/>
          <w:sz w:val="22"/>
          <w:szCs w:val="22"/>
          <w:rtl w:val="0"/>
        </w:rPr>
        <w:t xml:space="preserve">Clopidogrel</w:t>
      </w:r>
    </w:p>
    <w:p w:rsidR="00000000" w:rsidDel="00000000" w:rsidP="00000000" w:rsidRDefault="00000000" w:rsidRPr="00000000" w14:paraId="00000048">
      <w:pPr>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Utiliser avec prudence ou chosir une solution de rechange.</w:t>
      </w:r>
      <w:r w:rsidDel="00000000" w:rsidR="00000000" w:rsidRPr="00000000">
        <w:rPr>
          <w:rtl w:val="0"/>
        </w:rPr>
      </w:r>
    </w:p>
    <w:p w:rsidR="00000000" w:rsidDel="00000000" w:rsidP="00000000" w:rsidRDefault="00000000" w:rsidRPr="00000000" w14:paraId="00000049">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Solution de rechange </w:t>
      </w:r>
      <w:r w:rsidDel="00000000" w:rsidR="00000000" w:rsidRPr="00000000">
        <w:rPr>
          <w:rFonts w:ascii="Century Gothic" w:cs="Century Gothic" w:eastAsia="Century Gothic" w:hAnsi="Century Gothic"/>
          <w:sz w:val="22"/>
          <w:szCs w:val="22"/>
          <w:rtl w:val="0"/>
        </w:rPr>
        <w:t xml:space="preserve">: </w:t>
      </w:r>
    </w:p>
    <w:p w:rsidR="00000000" w:rsidDel="00000000" w:rsidP="00000000" w:rsidRDefault="00000000" w:rsidRPr="00000000" w14:paraId="0000004A">
      <w:pPr>
        <w:numPr>
          <w:ilvl w:val="0"/>
          <w:numId w:val="4"/>
        </w:numPr>
        <w:ind w:left="720" w:hanging="360"/>
        <w:jc w:val="both"/>
        <w:rPr>
          <w:sz w:val="22"/>
          <w:szCs w:val="22"/>
        </w:rPr>
      </w:pPr>
      <w:r w:rsidDel="00000000" w:rsidR="00000000" w:rsidRPr="00000000">
        <w:rPr>
          <w:rFonts w:ascii="Century Gothic" w:cs="Century Gothic" w:eastAsia="Century Gothic" w:hAnsi="Century Gothic"/>
          <w:sz w:val="22"/>
          <w:szCs w:val="22"/>
          <w:rtl w:val="0"/>
        </w:rPr>
        <w:t xml:space="preserve">Prasugrel (Efficient)</w:t>
      </w:r>
    </w:p>
    <w:p w:rsidR="00000000" w:rsidDel="00000000" w:rsidP="00000000" w:rsidRDefault="00000000" w:rsidRPr="00000000" w14:paraId="0000004B">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C">
      <w:pPr>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Suivi : </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vertAlign w:val="baseline"/>
        </w:rPr>
      </w:pPr>
      <w:r w:rsidDel="00000000" w:rsidR="00000000" w:rsidRPr="00000000">
        <w:rPr>
          <w:rFonts w:ascii="Century Gothic" w:cs="Century Gothic" w:eastAsia="Century Gothic" w:hAnsi="Century Gothic"/>
          <w:b w:val="0"/>
          <w:i w:val="0"/>
          <w:smallCaps w:val="0"/>
          <w:strike w:val="0"/>
          <w:color w:val="000000"/>
          <w:sz w:val="22"/>
          <w:szCs w:val="22"/>
          <w:vertAlign w:val="baseline"/>
          <w:rtl w:val="0"/>
        </w:rPr>
        <w:t xml:space="preserve">Surveiller l’efficacité des antiplaquettaires (signes et symptômes d’événements coronariens).</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vertAlign w:val="baseline"/>
        </w:rPr>
      </w:pPr>
      <w:r w:rsidDel="00000000" w:rsidR="00000000" w:rsidRPr="00000000">
        <w:rPr>
          <w:rFonts w:ascii="Century Gothic" w:cs="Century Gothic" w:eastAsia="Century Gothic" w:hAnsi="Century Gothic"/>
          <w:b w:val="0"/>
          <w:i w:val="0"/>
          <w:smallCaps w:val="0"/>
          <w:strike w:val="0"/>
          <w:color w:val="000000"/>
          <w:sz w:val="22"/>
          <w:szCs w:val="22"/>
          <w:vertAlign w:val="baseline"/>
          <w:rtl w:val="0"/>
        </w:rPr>
        <w:t xml:space="preserve">Surveiller les effets indésirables des antiplaquettaires.</w:t>
      </w:r>
    </w:p>
    <w:p w:rsidR="00000000" w:rsidDel="00000000" w:rsidP="00000000" w:rsidRDefault="00000000" w:rsidRPr="00000000" w14:paraId="0000004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2"/>
          <w:szCs w:val="22"/>
          <w:vertAlign w:val="baseline"/>
        </w:rPr>
      </w:pPr>
      <w:r w:rsidDel="00000000" w:rsidR="00000000" w:rsidRPr="00000000">
        <w:rPr>
          <w:rFonts w:ascii="Century Gothic" w:cs="Century Gothic" w:eastAsia="Century Gothic" w:hAnsi="Century Gothic"/>
          <w:b w:val="0"/>
          <w:i w:val="0"/>
          <w:smallCaps w:val="0"/>
          <w:strike w:val="0"/>
          <w:color w:val="000000"/>
          <w:sz w:val="22"/>
          <w:szCs w:val="22"/>
          <w:vertAlign w:val="baseline"/>
          <w:rtl w:val="0"/>
        </w:rPr>
        <w:t xml:space="preserve">Saignements : épistaxis, hémorragie digestive/cutanée, ecchymoses.</w:t>
      </w:r>
    </w:p>
    <w:p w:rsidR="00000000" w:rsidDel="00000000" w:rsidP="00000000" w:rsidRDefault="00000000" w:rsidRPr="00000000" w14:paraId="0000005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2"/>
          <w:szCs w:val="22"/>
          <w:vertAlign w:val="baseline"/>
        </w:rPr>
      </w:pPr>
      <w:r w:rsidDel="00000000" w:rsidR="00000000" w:rsidRPr="00000000">
        <w:rPr>
          <w:rFonts w:ascii="Century Gothic" w:cs="Century Gothic" w:eastAsia="Century Gothic" w:hAnsi="Century Gothic"/>
          <w:b w:val="0"/>
          <w:i w:val="0"/>
          <w:smallCaps w:val="0"/>
          <w:strike w:val="0"/>
          <w:color w:val="000000"/>
          <w:sz w:val="22"/>
          <w:szCs w:val="22"/>
          <w:vertAlign w:val="baseline"/>
          <w:rtl w:val="0"/>
        </w:rPr>
        <w:t xml:space="preserve">Dyspnée, céphalées, étourdissements, bradycardie.</w:t>
      </w:r>
    </w:p>
    <w:p w:rsidR="00000000" w:rsidDel="00000000" w:rsidP="00000000" w:rsidRDefault="00000000" w:rsidRPr="00000000" w14:paraId="0000005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2"/>
          <w:szCs w:val="22"/>
          <w:vertAlign w:val="baseline"/>
        </w:rPr>
      </w:pPr>
      <w:r w:rsidDel="00000000" w:rsidR="00000000" w:rsidRPr="00000000">
        <w:rPr>
          <w:rFonts w:ascii="Century Gothic" w:cs="Century Gothic" w:eastAsia="Century Gothic" w:hAnsi="Century Gothic"/>
          <w:b w:val="0"/>
          <w:i w:val="0"/>
          <w:smallCaps w:val="0"/>
          <w:strike w:val="0"/>
          <w:color w:val="000000"/>
          <w:sz w:val="22"/>
          <w:szCs w:val="22"/>
          <w:vertAlign w:val="baseline"/>
          <w:rtl w:val="0"/>
        </w:rPr>
        <w:t xml:space="preserve">Effets gastro-intestinaux : nausées, vomissements, dyspepsie, diarrhée, constipation.</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entury Gothic" w:cs="Century Gothic" w:eastAsia="Century Gothic" w:hAnsi="Century Gothic"/>
          <w:sz w:val="22"/>
          <w:szCs w:val="22"/>
          <w:shd w:fill="fce5cd" w:val="clear"/>
        </w:rPr>
      </w:pPr>
      <w:r w:rsidDel="00000000" w:rsidR="00000000" w:rsidRPr="00000000">
        <w:rPr>
          <w:rtl w:val="0"/>
        </w:rPr>
      </w:r>
    </w:p>
    <w:p w:rsidR="00000000" w:rsidDel="00000000" w:rsidP="00000000" w:rsidRDefault="00000000" w:rsidRPr="00000000" w14:paraId="00000053">
      <w:pPr>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54">
      <w:pPr>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55">
      <w:pPr>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56">
      <w:pPr>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57">
      <w:pPr>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58">
      <w:pPr>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59">
      <w:pPr>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5A">
      <w:pPr>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5B">
      <w:pPr>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5C">
      <w:pPr>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5D">
      <w:pPr>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5E">
      <w:pPr>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5F">
      <w:pPr>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60">
      <w:pPr>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61">
      <w:pPr>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62">
      <w:pPr>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63">
      <w:pPr>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64">
      <w:pPr>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65">
      <w:pPr>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66">
      <w:pPr>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67">
      <w:pPr>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68">
      <w:pPr>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69">
      <w:pPr>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6A">
      <w:pPr>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6B">
      <w:pPr>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6C">
      <w:pPr>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6D">
      <w:pPr>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6E">
      <w:pPr>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6F">
      <w:pPr>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70">
      <w:pPr>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71">
      <w:pPr>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72">
      <w:pPr>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73">
      <w:pPr>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74">
      <w:pPr>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75">
      <w:pPr>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76">
      <w:pPr>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77">
      <w:pPr>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Suggestion de la pharmacie ou nouvelle prescription</w:t>
      </w:r>
    </w:p>
    <w:p w:rsidR="00000000" w:rsidDel="00000000" w:rsidP="00000000" w:rsidRDefault="00000000" w:rsidRPr="00000000" w14:paraId="00000078">
      <w:pPr>
        <w:jc w:val="both"/>
        <w:rPr>
          <w:rFonts w:ascii="Century Gothic" w:cs="Century Gothic" w:eastAsia="Century Gothic" w:hAnsi="Century Gothic"/>
          <w:b w:val="1"/>
          <w:sz w:val="22"/>
          <w:szCs w:val="22"/>
        </w:rPr>
      </w:pPr>
      <w:r w:rsidDel="00000000" w:rsidR="00000000" w:rsidRPr="00000000">
        <w:rPr>
          <w:rtl w:val="0"/>
        </w:rPr>
      </w:r>
    </w:p>
    <w:tbl>
      <w:tblPr>
        <w:tblStyle w:val="Table1"/>
        <w:tblW w:w="93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96"/>
        <w:tblGridChange w:id="0">
          <w:tblGrid>
            <w:gridCol w:w="9396"/>
          </w:tblGrid>
        </w:tblGridChange>
      </w:tblGrid>
      <w:tr>
        <w:tc>
          <w:tcPr/>
          <w:p w:rsidR="00000000" w:rsidDel="00000000" w:rsidP="00000000" w:rsidRDefault="00000000" w:rsidRPr="00000000" w14:paraId="00000079">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Date : _____/_____/_____</w:t>
            </w:r>
          </w:p>
          <w:p w:rsidR="00000000" w:rsidDel="00000000" w:rsidP="00000000" w:rsidRDefault="00000000" w:rsidRPr="00000000" w14:paraId="0000007A">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Patient(e) : ________________________          DDN : _____/_____/_____</w:t>
            </w:r>
          </w:p>
          <w:p w:rsidR="00000000" w:rsidDel="00000000" w:rsidP="00000000" w:rsidRDefault="00000000" w:rsidRPr="00000000" w14:paraId="0000007B">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Téléphone : _____________________________</w:t>
            </w:r>
          </w:p>
        </w:tc>
      </w:tr>
      <w:tr>
        <w:tc>
          <w:tcPr/>
          <w:p w:rsidR="00000000" w:rsidDel="00000000" w:rsidP="00000000" w:rsidRDefault="00000000" w:rsidRPr="00000000" w14:paraId="0000007C">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Rx : </w:t>
            </w:r>
          </w:p>
          <w:p w:rsidR="00000000" w:rsidDel="00000000" w:rsidP="00000000" w:rsidRDefault="00000000" w:rsidRPr="00000000" w14:paraId="0000007D">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E">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F">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0">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1">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Renouvellements : _____</w:t>
            </w:r>
          </w:p>
          <w:p w:rsidR="00000000" w:rsidDel="00000000" w:rsidP="00000000" w:rsidRDefault="00000000" w:rsidRPr="00000000" w14:paraId="00000082">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3">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4">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5">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Médecin : __________     Numéro de pratique : __________    Signature : __________</w:t>
            </w:r>
          </w:p>
          <w:p w:rsidR="00000000" w:rsidDel="00000000" w:rsidP="00000000" w:rsidRDefault="00000000" w:rsidRPr="00000000" w14:paraId="00000086">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Adresse : ____________________________________________</w:t>
            </w:r>
          </w:p>
          <w:p w:rsidR="00000000" w:rsidDel="00000000" w:rsidP="00000000" w:rsidRDefault="00000000" w:rsidRPr="00000000" w14:paraId="00000087">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#Téléphone : ____________________     #Télécopieur : ________________</w:t>
            </w:r>
          </w:p>
        </w:tc>
      </w:tr>
      <w:tr>
        <w:tc>
          <w:tcPr/>
          <w:p w:rsidR="00000000" w:rsidDel="00000000" w:rsidP="00000000" w:rsidRDefault="00000000" w:rsidRPr="00000000" w14:paraId="00000088">
            <w:pPr>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Certification du prescripteur </w:t>
            </w:r>
          </w:p>
          <w:p w:rsidR="00000000" w:rsidDel="00000000" w:rsidP="00000000" w:rsidRDefault="00000000" w:rsidRPr="00000000" w14:paraId="00000089">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Je certifie que : </w:t>
            </w:r>
          </w:p>
          <w:p w:rsidR="00000000" w:rsidDel="00000000" w:rsidP="00000000" w:rsidRDefault="00000000" w:rsidRPr="00000000" w14:paraId="0000008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cette ordonnance est une ordonnance originale, </w:t>
            </w:r>
          </w:p>
          <w:p w:rsidR="00000000" w:rsidDel="00000000" w:rsidP="00000000" w:rsidRDefault="00000000" w:rsidRPr="00000000" w14:paraId="0000008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le pharmacien identifié précité est le seul destinataire, </w:t>
            </w:r>
          </w:p>
          <w:p w:rsidR="00000000" w:rsidDel="00000000" w:rsidP="00000000" w:rsidRDefault="00000000" w:rsidRPr="00000000" w14:paraId="0000008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l’original ne sera pas réutilisé.</w:t>
            </w:r>
          </w:p>
        </w:tc>
      </w:tr>
    </w:tbl>
    <w:p w:rsidR="00000000" w:rsidDel="00000000" w:rsidP="00000000" w:rsidRDefault="00000000" w:rsidRPr="00000000" w14:paraId="0000008D">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E">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Veuillez svp nous faire parvenir une copie de cette page avec votre conduite à tenir. </w:t>
      </w:r>
    </w:p>
    <w:p w:rsidR="00000000" w:rsidDel="00000000" w:rsidP="00000000" w:rsidRDefault="00000000" w:rsidRPr="00000000" w14:paraId="0000008F">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90">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Si vous avez besoin d’information complémentaire, n’hésitez pas à communiquer avec moi. </w:t>
      </w:r>
    </w:p>
    <w:p w:rsidR="00000000" w:rsidDel="00000000" w:rsidP="00000000" w:rsidRDefault="00000000" w:rsidRPr="00000000" w14:paraId="00000091">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92">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Cordialement, </w:t>
      </w:r>
    </w:p>
    <w:p w:rsidR="00000000" w:rsidDel="00000000" w:rsidP="00000000" w:rsidRDefault="00000000" w:rsidRPr="00000000" w14:paraId="00000093">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94">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Pharmacien(ne) : ____________________</w:t>
        <w:tab/>
        <w:t xml:space="preserve">Pharmacie : ____________________</w:t>
      </w:r>
    </w:p>
    <w:p w:rsidR="00000000" w:rsidDel="00000000" w:rsidP="00000000" w:rsidRDefault="00000000" w:rsidRPr="00000000" w14:paraId="00000095">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#Téléphone : ____________________</w:t>
        <w:tab/>
        <w:t xml:space="preserve">#Télécopieur : ____________________</w:t>
      </w:r>
    </w:p>
    <w:p w:rsidR="00000000" w:rsidDel="00000000" w:rsidP="00000000" w:rsidRDefault="00000000" w:rsidRPr="00000000" w14:paraId="00000096">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97">
      <w:pPr>
        <w:rPr>
          <w:rFonts w:ascii="Century Gothic" w:cs="Century Gothic" w:eastAsia="Century Gothic" w:hAnsi="Century Gothic"/>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98">
      <w:pPr>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Références : </w:t>
      </w:r>
    </w:p>
    <w:p w:rsidR="00000000" w:rsidDel="00000000" w:rsidP="00000000" w:rsidRDefault="00000000" w:rsidRPr="00000000" w14:paraId="00000099">
      <w:pPr>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9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Century Gothic" w:cs="Century Gothic" w:eastAsia="Century Gothic" w:hAnsi="Century Gothic"/>
          <w:b w:val="0"/>
          <w:i w:val="0"/>
          <w:smallCaps w:val="0"/>
          <w:strike w:val="0"/>
          <w:color w:val="000000"/>
          <w:sz w:val="22"/>
          <w:szCs w:val="22"/>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vertAlign w:val="baseline"/>
          <w:rtl w:val="0"/>
        </w:rPr>
        <w:t xml:space="preserve">Monographie : Ticagrelor (Brilinta), AstraZeneca, Ontario, Canada, 27 mai 2016.</w:t>
      </w:r>
      <w:r w:rsidDel="00000000" w:rsidR="00000000" w:rsidRPr="00000000">
        <w:rPr>
          <w:rtl w:val="0"/>
        </w:rPr>
      </w:r>
    </w:p>
    <w:p w:rsidR="00000000" w:rsidDel="00000000" w:rsidP="00000000" w:rsidRDefault="00000000" w:rsidRPr="00000000" w14:paraId="0000009B">
      <w:pPr>
        <w:widowControl w:val="0"/>
        <w:numPr>
          <w:ilvl w:val="0"/>
          <w:numId w:val="7"/>
        </w:numPr>
        <w:tabs>
          <w:tab w:val="left" w:pos="220"/>
          <w:tab w:val="left" w:pos="720"/>
        </w:tabs>
        <w:ind w:left="720" w:hanging="36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Egan G, Hughes CA, Ackman ML. Drug interactions between antiplatelet or novel anticoagulant medications and antiretroviral medications. Ann Pharmacother. 2014 June; 48 (6): 734-740. </w:t>
      </w:r>
      <w:r w:rsidDel="00000000" w:rsidR="00000000" w:rsidRPr="00000000">
        <w:rPr>
          <w:rtl w:val="0"/>
        </w:rPr>
      </w:r>
    </w:p>
    <w:p w:rsidR="00000000" w:rsidDel="00000000" w:rsidP="00000000" w:rsidRDefault="00000000" w:rsidRPr="00000000" w14:paraId="0000009C">
      <w:pPr>
        <w:widowControl w:val="0"/>
        <w:numPr>
          <w:ilvl w:val="0"/>
          <w:numId w:val="7"/>
        </w:numPr>
        <w:tabs>
          <w:tab w:val="left" w:pos="220"/>
          <w:tab w:val="left" w:pos="720"/>
        </w:tabs>
        <w:ind w:left="714" w:hanging="357"/>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Teng R, Butler K. Effect of the CYP3A inhibitors, diltiazem and ketoconazole, on ticagrelor pharmacokinetics in healthy volunteers. Journal of Drug Assessment 2013; 2: 30-9.</w:t>
      </w:r>
    </w:p>
    <w:p w:rsidR="00000000" w:rsidDel="00000000" w:rsidP="00000000" w:rsidRDefault="00000000" w:rsidRPr="00000000" w14:paraId="0000009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2"/>
          <w:szCs w:val="22"/>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vertAlign w:val="baseline"/>
          <w:rtl w:val="0"/>
        </w:rPr>
        <w:t xml:space="preserve">Monographie : Prasugrel (Effient), Eli Lilly Canada Inc., Ontario, Canada, 17 juin 2014.</w:t>
      </w:r>
    </w:p>
    <w:p w:rsidR="00000000" w:rsidDel="00000000" w:rsidP="00000000" w:rsidRDefault="00000000" w:rsidRPr="00000000" w14:paraId="0000009E">
      <w:pPr>
        <w:widowControl w:val="0"/>
        <w:numPr>
          <w:ilvl w:val="0"/>
          <w:numId w:val="7"/>
        </w:numPr>
        <w:tabs>
          <w:tab w:val="left" w:pos="220"/>
          <w:tab w:val="left" w:pos="720"/>
        </w:tabs>
        <w:ind w:left="720" w:hanging="36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Ancrenaz, V, Déglon, J, Samer C et al. Pharmacokinetic interaction between prasugrel and ritonavir in healthy volunteers. Basic &amp; Clinical Pharmacology &amp; Toxicology. 2013 Feb; 112(2): 132–7. </w:t>
      </w:r>
    </w:p>
    <w:p w:rsidR="00000000" w:rsidDel="00000000" w:rsidP="00000000" w:rsidRDefault="00000000" w:rsidRPr="00000000" w14:paraId="0000009F">
      <w:pPr>
        <w:widowControl w:val="0"/>
        <w:numPr>
          <w:ilvl w:val="0"/>
          <w:numId w:val="7"/>
        </w:numPr>
        <w:tabs>
          <w:tab w:val="left" w:pos="220"/>
          <w:tab w:val="left" w:pos="720"/>
        </w:tabs>
        <w:ind w:left="720" w:hanging="36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Daali Y, Ancrenaz V, Bosilkovska M et al. Ritonavir inhibits the two main prasugrel bioactivation pathways in vitro: a potential drug-drug interaction in HIV patients. Metabolism. 2011</w:t>
      </w:r>
      <w:r w:rsidDel="00000000" w:rsidR="00000000" w:rsidRPr="00000000">
        <w:rPr>
          <w:rFonts w:ascii="MS Mincho" w:cs="MS Mincho" w:eastAsia="MS Mincho" w:hAnsi="MS Mincho"/>
          <w:sz w:val="22"/>
          <w:szCs w:val="22"/>
          <w:rtl w:val="0"/>
        </w:rPr>
        <w:t xml:space="preserve"> </w:t>
      </w:r>
      <w:r w:rsidDel="00000000" w:rsidR="00000000" w:rsidRPr="00000000">
        <w:rPr>
          <w:rFonts w:ascii="Century Gothic" w:cs="Century Gothic" w:eastAsia="Century Gothic" w:hAnsi="Century Gothic"/>
          <w:sz w:val="22"/>
          <w:szCs w:val="22"/>
          <w:rtl w:val="0"/>
        </w:rPr>
        <w:t xml:space="preserve">Nov; 60 (11): 1584-9. </w:t>
      </w:r>
      <w:r w:rsidDel="00000000" w:rsidR="00000000" w:rsidRPr="00000000">
        <w:rPr>
          <w:rtl w:val="0"/>
        </w:rPr>
      </w:r>
    </w:p>
    <w:p w:rsidR="00000000" w:rsidDel="00000000" w:rsidP="00000000" w:rsidRDefault="00000000" w:rsidRPr="00000000" w14:paraId="000000A0">
      <w:pPr>
        <w:widowControl w:val="0"/>
        <w:numPr>
          <w:ilvl w:val="0"/>
          <w:numId w:val="7"/>
        </w:numPr>
        <w:tabs>
          <w:tab w:val="left" w:pos="220"/>
          <w:tab w:val="left" w:pos="720"/>
        </w:tabs>
        <w:ind w:left="720" w:hanging="36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color w:val="1d1d1d"/>
          <w:sz w:val="22"/>
          <w:szCs w:val="22"/>
          <w:rtl w:val="0"/>
        </w:rPr>
        <w:t xml:space="preserve">Farid NA, Payne CD, Small DS et al. </w:t>
      </w:r>
      <w:r w:rsidDel="00000000" w:rsidR="00000000" w:rsidRPr="00000000">
        <w:rPr>
          <w:rFonts w:ascii="Century Gothic" w:cs="Century Gothic" w:eastAsia="Century Gothic" w:hAnsi="Century Gothic"/>
          <w:sz w:val="22"/>
          <w:szCs w:val="22"/>
          <w:rtl w:val="0"/>
        </w:rPr>
        <w:t xml:space="preserve">Cytochrome P450 3A inhibition by ketoconazole affects prasugrel and clopidogrel pharmacokinetics and pharmacodynamics differently. </w:t>
      </w:r>
      <w:r w:rsidDel="00000000" w:rsidR="00000000" w:rsidRPr="00000000">
        <w:rPr>
          <w:rFonts w:ascii="Century Gothic" w:cs="Century Gothic" w:eastAsia="Century Gothic" w:hAnsi="Century Gothic"/>
          <w:color w:val="1d1d1d"/>
          <w:sz w:val="22"/>
          <w:szCs w:val="22"/>
          <w:rtl w:val="0"/>
        </w:rPr>
        <w:t xml:space="preserve">Clin Pharmacol Ther. 2007 May; 81 (5): 735-741. </w:t>
      </w:r>
      <w:r w:rsidDel="00000000" w:rsidR="00000000" w:rsidRPr="00000000">
        <w:rPr>
          <w:rtl w:val="0"/>
        </w:rPr>
      </w:r>
    </w:p>
    <w:p w:rsidR="00000000" w:rsidDel="00000000" w:rsidP="00000000" w:rsidRDefault="00000000" w:rsidRPr="00000000" w14:paraId="000000A1">
      <w:pPr>
        <w:widowControl w:val="0"/>
        <w:numPr>
          <w:ilvl w:val="0"/>
          <w:numId w:val="7"/>
        </w:numPr>
        <w:tabs>
          <w:tab w:val="left" w:pos="220"/>
          <w:tab w:val="left" w:pos="720"/>
        </w:tabs>
        <w:ind w:left="720" w:hanging="36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Small DS, Farid NA, Payne CD et al. Effect of Intrinsic and Extrinsic Factors on the Clinical Pharmacokinetics and Pharmacodynamics of Prasugrel. Clin Pharmacokinet 2010; 49 (12): 777-798.</w:t>
      </w:r>
    </w:p>
    <w:p w:rsidR="00000000" w:rsidDel="00000000" w:rsidP="00000000" w:rsidRDefault="00000000" w:rsidRPr="00000000" w14:paraId="000000A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2"/>
          <w:szCs w:val="22"/>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vertAlign w:val="baseline"/>
          <w:rtl w:val="0"/>
        </w:rPr>
        <w:t xml:space="preserve">Monographie : Clopidogrel (Plavix), Sanofi-Aventis, Québec, Canada, </w:t>
      </w:r>
      <w:r w:rsidDel="00000000" w:rsidR="00000000" w:rsidRPr="00000000">
        <w:rPr>
          <w:rFonts w:ascii="Century Gothic" w:cs="Century Gothic" w:eastAsia="Century Gothic" w:hAnsi="Century Gothic"/>
          <w:sz w:val="22"/>
          <w:szCs w:val="22"/>
          <w:rtl w:val="0"/>
        </w:rPr>
        <w:t xml:space="preserve">9 mars 2018.</w:t>
      </w:r>
    </w:p>
    <w:p w:rsidR="00000000" w:rsidDel="00000000" w:rsidP="00000000" w:rsidRDefault="00000000" w:rsidRPr="00000000" w14:paraId="000000A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Marsousi N, Daali Y, Fontana P, Reny JL, Ancrenaz-Sirot V et al. Impact of boosted antiretroviral therapy on the pharmacokinetics and efficacy of clopidogrel and prasugrel active metabolites. Clin Pharmacokinet. 2018 Oct; 57(10): 1347-1354.</w:t>
      </w:r>
    </w:p>
    <w:p w:rsidR="00000000" w:rsidDel="00000000" w:rsidP="00000000" w:rsidRDefault="00000000" w:rsidRPr="00000000" w14:paraId="000000A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Bravo I, Alvarez H, Marino A, Clotet B, Molto J. Recurrent coronary disease in HIV-infected patients: role of drug-drug interactions. Br J Clin Pharmacol. 2018 Jul;84(7):1617-1619.</w:t>
      </w:r>
    </w:p>
    <w:p w:rsidR="00000000" w:rsidDel="00000000" w:rsidP="00000000" w:rsidRDefault="00000000" w:rsidRPr="00000000" w14:paraId="000000A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Itkonen MK, Tornio A, Lapatto-Reiniluoto O, Neuvonen M, Neuvonen PJ et al. Clopidogrel increases dasabuvir exposure with or without ritonavir, and ritonavir inhibits the bioactivation of clopidogrel. Clin Pharmacol Ther, 2018 Apr 26. doi: 10.1002/cpt.1099.</w:t>
      </w:r>
    </w:p>
    <w:p w:rsidR="00000000" w:rsidDel="00000000" w:rsidP="00000000" w:rsidRDefault="00000000" w:rsidRPr="00000000" w14:paraId="000000A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2"/>
          <w:szCs w:val="22"/>
          <w:u w:val="none"/>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vertAlign w:val="baseline"/>
          <w:rtl w:val="0"/>
        </w:rPr>
        <w:t xml:space="preserve">Guide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thérapeutique VIH. [En ligne]. Disponible : </w:t>
      </w:r>
      <w:r w:rsidDel="00000000" w:rsidR="00000000" w:rsidRPr="00000000">
        <w:rPr>
          <w:rFonts w:ascii="Century Gothic" w:cs="Century Gothic" w:eastAsia="Century Gothic" w:hAnsi="Century Gothic"/>
          <w:b w:val="0"/>
          <w:i w:val="0"/>
          <w:smallCaps w:val="0"/>
          <w:strike w:val="0"/>
          <w:color w:val="0000ff"/>
          <w:sz w:val="22"/>
          <w:szCs w:val="22"/>
          <w:u w:val="none"/>
          <w:shd w:fill="auto" w:val="clear"/>
          <w:vertAlign w:val="baseline"/>
          <w:rtl w:val="0"/>
        </w:rPr>
        <w:t xml:space="preserve">http://www.guidetherapeutiquevih.com</w:t>
      </w:r>
      <w:r w:rsidDel="00000000" w:rsidR="00000000" w:rsidRPr="00000000">
        <w:rPr>
          <w:rtl w:val="0"/>
        </w:rPr>
      </w:r>
    </w:p>
    <w:sectPr>
      <w:headerReference r:id="rId6" w:type="default"/>
      <w:footerReference r:id="rId7" w:type="default"/>
      <w:pgSz w:h="15840" w:w="1224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Mincho"/>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tabs>
        <w:tab w:val="center" w:pos="4320"/>
        <w:tab w:val="right" w:pos="8640"/>
      </w:tabs>
      <w:rPr/>
    </w:pPr>
    <w:hyperlink r:id="rId1">
      <w:r w:rsidDel="00000000" w:rsidR="00000000" w:rsidRPr="00000000">
        <w:rPr>
          <w:color w:val="0563c1"/>
          <w:u w:val="single"/>
          <w:rtl w:val="0"/>
        </w:rPr>
        <w:t xml:space="preserve">www.guidetherapeutiquevih.com</w:t>
      </w:r>
    </w:hyperlink>
    <w:r w:rsidDel="00000000" w:rsidR="00000000" w:rsidRPr="00000000">
      <w:rPr>
        <w:rtl w:val="0"/>
      </w:rPr>
      <w:t xml:space="preserve">                                                                                 Novembre 2018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shd w:fill="auto" w:val="clea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guidetherapeutiquevi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