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A" w:rsidRPr="00FA6CB7" w:rsidRDefault="00CD5A4A" w:rsidP="00FB3328">
      <w:pPr>
        <w:jc w:val="center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Opinion pharmaceutique</w:t>
      </w:r>
      <w:r w:rsidR="00FB3328" w:rsidRPr="00FA6CB7">
        <w:rPr>
          <w:rFonts w:eastAsia="Century Gothic"/>
          <w:lang w:val="fr-CA"/>
        </w:rPr>
        <w:t xml:space="preserve"> : </w:t>
      </w:r>
      <w:r w:rsidR="000D4348">
        <w:rPr>
          <w:rFonts w:eastAsia="Century Gothic"/>
          <w:b/>
          <w:lang w:val="fr-CA"/>
        </w:rPr>
        <w:t xml:space="preserve">Interaction </w:t>
      </w:r>
      <w:r w:rsidR="000D4348" w:rsidRPr="000D4348">
        <w:rPr>
          <w:rFonts w:eastAsia="Century Gothic"/>
          <w:b/>
          <w:lang w:val="fr-CA"/>
        </w:rPr>
        <w:t xml:space="preserve">entre les agents modifiant le pH gastrique </w:t>
      </w:r>
      <w:r w:rsidR="00251915" w:rsidRPr="00251915">
        <w:rPr>
          <w:rFonts w:eastAsia="Century Gothic"/>
          <w:b/>
          <w:lang w:val="fr-CA"/>
        </w:rPr>
        <w:t>et les anti-VHC</w:t>
      </w:r>
    </w:p>
    <w:p w:rsidR="00CD5A4A" w:rsidRPr="00FA6CB7" w:rsidRDefault="00CD5A4A" w:rsidP="00CD5A4A">
      <w:pPr>
        <w:jc w:val="center"/>
        <w:rPr>
          <w:rFonts w:eastAsia="Century Gothic"/>
          <w:lang w:val="fr-CA"/>
        </w:rPr>
      </w:pP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Patient(</w:t>
      </w:r>
      <w:r w:rsidR="00F57980" w:rsidRPr="00FA6CB7">
        <w:rPr>
          <w:rFonts w:eastAsia="Century Gothic"/>
          <w:lang w:val="fr-CA"/>
        </w:rPr>
        <w:t>e) : _________________________   DDN</w:t>
      </w:r>
      <w:r w:rsidRPr="00FA6CB7">
        <w:rPr>
          <w:rFonts w:eastAsia="Century Gothic"/>
          <w:lang w:val="fr-CA"/>
        </w:rPr>
        <w:t>_____/_____/_____</w:t>
      </w:r>
      <w:r w:rsidR="00F57980" w:rsidRPr="00FA6CB7">
        <w:rPr>
          <w:rFonts w:eastAsia="Century Gothic"/>
          <w:lang w:val="fr-CA"/>
        </w:rPr>
        <w:t xml:space="preserve">   #</w:t>
      </w:r>
      <w:r w:rsidRPr="00FA6CB7">
        <w:rPr>
          <w:rFonts w:eastAsia="Century Gothic"/>
          <w:lang w:val="fr-CA"/>
        </w:rPr>
        <w:t>Téléphone :</w:t>
      </w:r>
      <w:r w:rsidR="00F57980" w:rsidRPr="00FA6CB7">
        <w:rPr>
          <w:rFonts w:eastAsia="Century Gothic"/>
          <w:lang w:val="fr-CA"/>
        </w:rPr>
        <w:t xml:space="preserve"> </w:t>
      </w:r>
      <w:r w:rsidRPr="00FA6CB7">
        <w:rPr>
          <w:rFonts w:eastAsia="Century Gothic"/>
          <w:lang w:val="fr-CA"/>
        </w:rPr>
        <w:t>______________________</w:t>
      </w: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</w:p>
    <w:p w:rsidR="00CD5A4A" w:rsidRPr="00FA6CB7" w:rsidRDefault="00CD5A4A" w:rsidP="00CF745C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Après avoir analysé le dossier de votre patient(e), j’ai relevé un problème relié à sa pharmacothérapie. </w:t>
      </w:r>
    </w:p>
    <w:p w:rsidR="00BE5D95" w:rsidRPr="005733C2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fr-CA"/>
        </w:rPr>
      </w:pPr>
    </w:p>
    <w:p w:rsidR="00B906ED" w:rsidRDefault="0036414F" w:rsidP="00B906ED">
      <w:pPr>
        <w:ind w:left="720"/>
        <w:rPr>
          <w:color w:val="000000"/>
          <w:lang w:val="fr-CA"/>
        </w:rPr>
      </w:pPr>
      <w:r w:rsidRPr="0036414F">
        <w:rPr>
          <w:b/>
          <w:lang w:val="fr-CA"/>
        </w:rPr>
        <w:t>Sofosbuvir / Velpatasvir (Epclusa)</w:t>
      </w:r>
      <w:r w:rsidR="00B906ED">
        <w:rPr>
          <w:color w:val="000000"/>
          <w:lang w:val="fr-CA"/>
        </w:rPr>
        <w:t xml:space="preserve"> </w:t>
      </w:r>
      <w:r w:rsidR="00B93894">
        <w:rPr>
          <w:color w:val="000000"/>
          <w:lang w:val="fr-CA"/>
        </w:rPr>
        <w:t xml:space="preserve">     </w:t>
      </w:r>
      <w:r w:rsidR="00A32F36" w:rsidRPr="00B906ED">
        <w:rPr>
          <w:b/>
          <w:color w:val="000000"/>
          <w:lang w:val="fr-CA"/>
        </w:rPr>
        <w:t xml:space="preserve"> </w:t>
      </w:r>
      <w:r w:rsidR="00FB3328" w:rsidRPr="00B906ED">
        <w:rPr>
          <w:b/>
          <w:color w:val="000000"/>
          <w:lang w:val="fr-CA"/>
        </w:rPr>
        <w:t>et</w:t>
      </w:r>
      <w:r w:rsidR="00251915">
        <w:rPr>
          <w:color w:val="000000"/>
          <w:lang w:val="fr-CA"/>
        </w:rPr>
        <w:t xml:space="preserve">   </w:t>
      </w:r>
    </w:p>
    <w:p w:rsidR="00B906ED" w:rsidRDefault="00B906ED" w:rsidP="00B906ED">
      <w:pPr>
        <w:ind w:left="720"/>
        <w:rPr>
          <w:b/>
          <w:lang w:val="fr-CA"/>
        </w:rPr>
      </w:pPr>
    </w:p>
    <w:p w:rsidR="00B906ED" w:rsidRPr="000D4348" w:rsidRDefault="004909E8" w:rsidP="00B906ED">
      <w:pPr>
        <w:ind w:left="720"/>
        <w:rPr>
          <w:color w:val="000000"/>
          <w:lang w:val="fr-CA"/>
        </w:rPr>
      </w:pPr>
      <w:r w:rsidRPr="004909E8">
        <w:rPr>
          <w:b/>
          <w:lang w:val="fr-CA"/>
        </w:rPr>
        <w:t>IPP : lansoprazole (Prevacid), oméprazole (Losec), pantoprazole (Pantoloc) ou équivalent</w:t>
      </w:r>
    </w:p>
    <w:p w:rsidR="00F57980" w:rsidRPr="00F57980" w:rsidRDefault="00F57980" w:rsidP="00F57980">
      <w:pPr>
        <w:rPr>
          <w:color w:val="000000"/>
          <w:lang w:val="fr-CA"/>
        </w:rPr>
      </w:pPr>
    </w:p>
    <w:p w:rsidR="000D4348" w:rsidRPr="00C73702" w:rsidRDefault="00251915" w:rsidP="000D4348">
      <w:pPr>
        <w:widowControl w:val="0"/>
        <w:rPr>
          <w:rFonts w:eastAsia="Century Gothic"/>
          <w:color w:val="000000"/>
          <w:lang w:val="fr-CA"/>
        </w:rPr>
      </w:pPr>
      <w:r w:rsidRPr="00B50B31">
        <w:rPr>
          <w:rFonts w:eastAsia="Century Gothic"/>
          <w:b/>
          <w:lang w:val="fr-CA"/>
        </w:rPr>
        <w:t xml:space="preserve">Mécanisme d’interaction : </w:t>
      </w:r>
      <w:r w:rsidR="000D4348" w:rsidRPr="00C73702">
        <w:rPr>
          <w:rFonts w:eastAsia="Century Gothic"/>
          <w:color w:val="000000"/>
          <w:lang w:val="fr-CA"/>
        </w:rPr>
        <w:t xml:space="preserve">Les </w:t>
      </w:r>
      <w:r w:rsidR="004909E8">
        <w:rPr>
          <w:rFonts w:eastAsia="Century Gothic"/>
          <w:color w:val="000000"/>
          <w:lang w:val="fr-CA"/>
        </w:rPr>
        <w:t>inhibiteurs de la pompe à protons (IPP)</w:t>
      </w:r>
      <w:r w:rsidR="00974137" w:rsidRPr="00974137">
        <w:rPr>
          <w:rFonts w:eastAsia="Century Gothic"/>
          <w:color w:val="000000"/>
          <w:lang w:val="fr-CA"/>
        </w:rPr>
        <w:t xml:space="preserve"> </w:t>
      </w:r>
      <w:r w:rsidR="000D4348" w:rsidRPr="00C73702">
        <w:rPr>
          <w:rFonts w:eastAsia="Century Gothic"/>
          <w:color w:val="000000"/>
          <w:lang w:val="fr-CA"/>
        </w:rPr>
        <w:t xml:space="preserve">augmentent le pH gastrique. La solubilité, l'absorption et </w:t>
      </w:r>
      <w:r w:rsidR="00CF745C">
        <w:rPr>
          <w:rFonts w:eastAsia="Century Gothic"/>
          <w:color w:val="000000"/>
          <w:lang w:val="fr-CA"/>
        </w:rPr>
        <w:t xml:space="preserve">la concentration plasmatique </w:t>
      </w:r>
      <w:r w:rsidR="000D4348" w:rsidRPr="00C73702">
        <w:rPr>
          <w:rFonts w:eastAsia="Century Gothic"/>
          <w:color w:val="000000"/>
          <w:lang w:val="fr-CA"/>
        </w:rPr>
        <w:t>du velpatasvir peuvent être diminuées.</w:t>
      </w:r>
    </w:p>
    <w:p w:rsidR="000D4348" w:rsidRPr="00C73702" w:rsidRDefault="000D4348" w:rsidP="000D434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Century Gothic"/>
          <w:lang w:val="fr-CA"/>
        </w:rPr>
      </w:pPr>
      <w:r w:rsidRPr="00C73702">
        <w:rPr>
          <w:rFonts w:eastAsia="Century Gothic"/>
          <w:lang w:val="fr-CA"/>
        </w:rPr>
        <w:t>Ceci</w:t>
      </w:r>
      <w:r w:rsidRPr="00C73702">
        <w:rPr>
          <w:rFonts w:eastAsia="Century Gothic"/>
          <w:color w:val="000000"/>
          <w:lang w:val="fr-CA"/>
        </w:rPr>
        <w:t xml:space="preserve"> peut donc diminuer de fa</w:t>
      </w:r>
      <w:r w:rsidRPr="00C73702">
        <w:rPr>
          <w:rFonts w:eastAsia="Century Gothic"/>
          <w:lang w:val="fr-CA"/>
        </w:rPr>
        <w:t xml:space="preserve">çon </w:t>
      </w:r>
      <w:r w:rsidRPr="00C73702">
        <w:rPr>
          <w:rFonts w:eastAsia="Century Gothic"/>
          <w:color w:val="000000"/>
          <w:lang w:val="fr-CA"/>
        </w:rPr>
        <w:t>significativ</w:t>
      </w:r>
      <w:r w:rsidRPr="00C73702">
        <w:rPr>
          <w:rFonts w:eastAsia="Century Gothic"/>
          <w:lang w:val="fr-CA"/>
        </w:rPr>
        <w:t xml:space="preserve">e </w:t>
      </w:r>
      <w:r w:rsidRPr="00C73702">
        <w:rPr>
          <w:rFonts w:eastAsia="Century Gothic"/>
          <w:color w:val="000000"/>
          <w:lang w:val="fr-CA"/>
        </w:rPr>
        <w:t>l’efficacité de certains</w:t>
      </w:r>
      <w:r w:rsidRPr="00C73702">
        <w:rPr>
          <w:rFonts w:eastAsia="Century Gothic"/>
          <w:lang w:val="fr-CA"/>
        </w:rPr>
        <w:t xml:space="preserve"> anti-VHC.</w:t>
      </w:r>
    </w:p>
    <w:p w:rsidR="000D4348" w:rsidRPr="00C73702" w:rsidRDefault="000D4348" w:rsidP="000D434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fr-CA"/>
        </w:rPr>
      </w:pPr>
    </w:p>
    <w:p w:rsidR="0036414F" w:rsidRPr="0036414F" w:rsidRDefault="002A602E" w:rsidP="0036414F">
      <w:pPr>
        <w:jc w:val="center"/>
        <w:rPr>
          <w:rFonts w:eastAsia="Century Gothic"/>
          <w:b/>
          <w:i/>
          <w:lang w:val="fr-CA"/>
        </w:rPr>
      </w:pPr>
      <w:bookmarkStart w:id="0" w:name="bmAutoText1"/>
      <w:r w:rsidRPr="002A602E">
        <w:rPr>
          <w:rFonts w:eastAsia="Century Gothic"/>
          <w:b/>
          <w:bCs/>
          <w:i/>
          <w:lang w:val="fr-CA"/>
        </w:rPr>
        <w:t>Sofosbuvir / Velpatasvir (Epclusa)</w:t>
      </w:r>
      <w:r w:rsidR="000D4348" w:rsidRPr="00E50215">
        <w:rPr>
          <w:rFonts w:eastAsia="Century Gothic"/>
          <w:b/>
          <w:bCs/>
          <w:i/>
          <w:lang w:val="fr-CA"/>
        </w:rPr>
        <w:t xml:space="preserve"> et </w:t>
      </w:r>
      <w:r w:rsidR="004909E8">
        <w:rPr>
          <w:rFonts w:eastAsia="Century Gothic"/>
          <w:b/>
          <w:bCs/>
          <w:i/>
          <w:lang w:val="fr-CA"/>
        </w:rPr>
        <w:t>IPP</w:t>
      </w:r>
      <w:r w:rsidR="000D4348" w:rsidRPr="00E50215">
        <w:rPr>
          <w:rFonts w:eastAsia="Century Gothic"/>
          <w:i/>
          <w:lang w:val="fr-CA"/>
        </w:rPr>
        <w:t> </w:t>
      </w:r>
      <w:r w:rsidR="000D4348" w:rsidRPr="00E50215">
        <w:rPr>
          <w:rFonts w:eastAsia="Century Gothic"/>
          <w:b/>
          <w:i/>
          <w:lang w:val="fr-CA"/>
        </w:rPr>
        <w:t xml:space="preserve">: </w:t>
      </w:r>
    </w:p>
    <w:p w:rsidR="000D4348" w:rsidRPr="00E50215" w:rsidRDefault="000D4348" w:rsidP="000D4348">
      <w:pPr>
        <w:rPr>
          <w:rFonts w:eastAsia="Century Gothic"/>
          <w:lang w:val="fr-CA"/>
        </w:rPr>
      </w:pPr>
    </w:p>
    <w:p w:rsidR="004909E8" w:rsidRPr="00B936B9" w:rsidRDefault="000D4348" w:rsidP="004909E8">
      <w:pPr>
        <w:rPr>
          <w:rFonts w:eastAsia="Century Gothic"/>
          <w:bCs/>
          <w:lang w:val="fr-CA"/>
        </w:rPr>
      </w:pPr>
      <w:r w:rsidRPr="00E50215">
        <w:rPr>
          <w:rFonts w:eastAsia="Century Gothic"/>
          <w:u w:val="single"/>
          <w:lang w:val="fr-CA"/>
        </w:rPr>
        <w:t>Information supplémentaire :</w:t>
      </w:r>
      <w:r w:rsidRPr="00E50215">
        <w:rPr>
          <w:rFonts w:eastAsia="Century Gothic"/>
          <w:u w:val="single"/>
          <w:lang w:val="fr-CA"/>
        </w:rPr>
        <w:br/>
      </w:r>
      <w:r w:rsidR="004909E8" w:rsidRPr="00B936B9">
        <w:rPr>
          <w:rFonts w:eastAsia="Century Gothic"/>
          <w:bCs/>
          <w:lang w:val="fr-CA"/>
        </w:rPr>
        <w:t>Étude pharmacocinétique : Epclusa + Om</w:t>
      </w:r>
      <w:r w:rsidR="004909E8">
        <w:rPr>
          <w:rFonts w:eastAsia="Century Gothic"/>
          <w:bCs/>
          <w:lang w:val="fr-CA"/>
        </w:rPr>
        <w:t>é</w:t>
      </w:r>
      <w:r w:rsidR="004909E8" w:rsidRPr="00B936B9">
        <w:rPr>
          <w:rFonts w:eastAsia="Century Gothic"/>
          <w:bCs/>
          <w:lang w:val="fr-CA"/>
        </w:rPr>
        <w:t>prazole 20 mg</w:t>
      </w:r>
    </w:p>
    <w:p w:rsidR="004909E8" w:rsidRPr="00B936B9" w:rsidRDefault="004909E8" w:rsidP="004909E8">
      <w:pPr>
        <w:rPr>
          <w:rFonts w:eastAsia="Century Gothic"/>
          <w:sz w:val="4"/>
          <w:u w:val="single"/>
          <w:lang w:val="fr-CA"/>
        </w:rPr>
      </w:pPr>
    </w:p>
    <w:tbl>
      <w:tblPr>
        <w:tblStyle w:val="GridTable2-Accent31"/>
        <w:tblW w:w="0" w:type="auto"/>
        <w:tblLook w:val="04A0" w:firstRow="1" w:lastRow="0" w:firstColumn="1" w:lastColumn="0" w:noHBand="0" w:noVBand="1"/>
      </w:tblPr>
      <w:tblGrid>
        <w:gridCol w:w="2977"/>
        <w:gridCol w:w="1985"/>
        <w:gridCol w:w="1673"/>
        <w:gridCol w:w="2259"/>
        <w:gridCol w:w="1906"/>
      </w:tblGrid>
      <w:tr w:rsidR="004909E8" w:rsidTr="00B86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</w:tcBorders>
            <w:hideMark/>
          </w:tcPr>
          <w:p w:rsidR="004909E8" w:rsidRDefault="004909E8" w:rsidP="00B86878">
            <w:pPr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Administration (Anti-VHC)</w:t>
            </w:r>
          </w:p>
        </w:tc>
        <w:tc>
          <w:tcPr>
            <w:tcW w:w="1985" w:type="dxa"/>
            <w:hideMark/>
          </w:tcPr>
          <w:p w:rsidR="004909E8" w:rsidRDefault="004909E8" w:rsidP="00B868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À jeun</w:t>
            </w:r>
          </w:p>
        </w:tc>
        <w:tc>
          <w:tcPr>
            <w:tcW w:w="1673" w:type="dxa"/>
            <w:hideMark/>
          </w:tcPr>
          <w:p w:rsidR="004909E8" w:rsidRDefault="004909E8" w:rsidP="00B868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En mangeant</w:t>
            </w:r>
          </w:p>
        </w:tc>
        <w:tc>
          <w:tcPr>
            <w:tcW w:w="2259" w:type="dxa"/>
            <w:hideMark/>
          </w:tcPr>
          <w:p w:rsidR="004909E8" w:rsidRDefault="004909E8" w:rsidP="00B868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En mangeant</w:t>
            </w:r>
          </w:p>
        </w:tc>
        <w:tc>
          <w:tcPr>
            <w:tcW w:w="1906" w:type="dxa"/>
            <w:tcBorders>
              <w:right w:val="nil"/>
            </w:tcBorders>
            <w:hideMark/>
          </w:tcPr>
          <w:p w:rsidR="004909E8" w:rsidRDefault="004909E8" w:rsidP="00B868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À jeun</w:t>
            </w:r>
          </w:p>
        </w:tc>
      </w:tr>
      <w:tr w:rsidR="004909E8" w:rsidTr="00B8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:rsidR="004909E8" w:rsidRDefault="004909E8" w:rsidP="00B86878">
            <w:pPr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Administration (IPP)</w:t>
            </w:r>
          </w:p>
        </w:tc>
        <w:tc>
          <w:tcPr>
            <w:tcW w:w="198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:rsidR="004909E8" w:rsidRDefault="004909E8" w:rsidP="00B8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En même temps</w:t>
            </w:r>
          </w:p>
        </w:tc>
        <w:tc>
          <w:tcPr>
            <w:tcW w:w="1673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:rsidR="004909E8" w:rsidRDefault="004909E8" w:rsidP="00B8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2h avant</w:t>
            </w:r>
          </w:p>
        </w:tc>
        <w:tc>
          <w:tcPr>
            <w:tcW w:w="2259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:rsidR="004909E8" w:rsidRDefault="004909E8" w:rsidP="00B8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4h après</w:t>
            </w:r>
          </w:p>
        </w:tc>
        <w:tc>
          <w:tcPr>
            <w:tcW w:w="1906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  <w:hideMark/>
          </w:tcPr>
          <w:p w:rsidR="004909E8" w:rsidRDefault="004909E8" w:rsidP="00B8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12h après</w:t>
            </w:r>
          </w:p>
        </w:tc>
      </w:tr>
      <w:tr w:rsidR="004909E8" w:rsidTr="00B86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:rsidR="004909E8" w:rsidRDefault="004909E8" w:rsidP="00B86878">
            <w:pPr>
              <w:rPr>
                <w:rFonts w:eastAsia="Century Gothic"/>
                <w:b w:val="0"/>
                <w:lang w:val="fr-CA"/>
              </w:rPr>
            </w:pPr>
            <w:r>
              <w:rPr>
                <w:rFonts w:eastAsia="Century Gothic"/>
                <w:b w:val="0"/>
                <w:bCs w:val="0"/>
                <w:lang w:val="fr-CA"/>
              </w:rPr>
              <w:t>SSC du velpatasvir</w:t>
            </w:r>
          </w:p>
        </w:tc>
        <w:tc>
          <w:tcPr>
            <w:tcW w:w="198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:rsidR="004909E8" w:rsidRDefault="004909E8" w:rsidP="00B86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 xml:space="preserve"> ↓36%</w:t>
            </w:r>
          </w:p>
        </w:tc>
        <w:tc>
          <w:tcPr>
            <w:tcW w:w="1673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:rsidR="004909E8" w:rsidRDefault="004909E8" w:rsidP="00B86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↓38%</w:t>
            </w:r>
          </w:p>
        </w:tc>
        <w:tc>
          <w:tcPr>
            <w:tcW w:w="2259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:rsidR="004909E8" w:rsidRDefault="00A35FE6" w:rsidP="00B86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↓2</w:t>
            </w:r>
            <w:bookmarkStart w:id="1" w:name="_GoBack"/>
            <w:bookmarkEnd w:id="1"/>
            <w:r w:rsidR="004909E8">
              <w:rPr>
                <w:rFonts w:eastAsia="Century Gothic"/>
                <w:lang w:val="fr-CA"/>
              </w:rPr>
              <w:t>6%</w:t>
            </w:r>
          </w:p>
        </w:tc>
        <w:tc>
          <w:tcPr>
            <w:tcW w:w="1906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  <w:hideMark/>
          </w:tcPr>
          <w:p w:rsidR="004909E8" w:rsidRDefault="004909E8" w:rsidP="00B86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↓55%</w:t>
            </w:r>
          </w:p>
        </w:tc>
      </w:tr>
    </w:tbl>
    <w:p w:rsidR="004909E8" w:rsidRDefault="004909E8" w:rsidP="004909E8">
      <w:pPr>
        <w:widowControl w:val="0"/>
        <w:jc w:val="both"/>
        <w:rPr>
          <w:rFonts w:eastAsia="Century Gothic"/>
          <w:sz w:val="4"/>
        </w:rPr>
      </w:pPr>
    </w:p>
    <w:p w:rsidR="000D4348" w:rsidRPr="00E50215" w:rsidRDefault="004909E8" w:rsidP="004909E8">
      <w:pPr>
        <w:widowControl w:val="0"/>
        <w:jc w:val="both"/>
        <w:rPr>
          <w:rFonts w:eastAsia="Century Gothic"/>
          <w:lang w:val="fr-CA"/>
        </w:rPr>
      </w:pPr>
      <w:r w:rsidRPr="00B936B9">
        <w:rPr>
          <w:rFonts w:eastAsia="Century Gothic"/>
          <w:lang w:val="fr-CA"/>
        </w:rPr>
        <w:t xml:space="preserve">Basé sur les études pharmacocinétiques ci-haut, un IPP, à des doses équivalentes à 20 mg d’oméprazole, peut être administré simultanément avec l’Epclusa lorsque ce dernier est </w:t>
      </w:r>
      <w:r w:rsidRPr="00B936B9">
        <w:rPr>
          <w:rFonts w:eastAsia="Century Gothic"/>
          <w:u w:val="single"/>
          <w:lang w:val="fr-CA"/>
        </w:rPr>
        <w:t>pris avec de la nourriture,</w:t>
      </w:r>
      <w:r w:rsidRPr="00B936B9">
        <w:rPr>
          <w:rFonts w:eastAsia="Century Gothic"/>
          <w:lang w:val="fr-CA"/>
        </w:rPr>
        <w:t xml:space="preserve"> selon la monographie.</w:t>
      </w:r>
    </w:p>
    <w:p w:rsidR="000D4348" w:rsidRDefault="000D4348" w:rsidP="000D4348">
      <w:pPr>
        <w:rPr>
          <w:rFonts w:eastAsia="Century Gothic"/>
          <w:rtl/>
        </w:rPr>
      </w:pPr>
    </w:p>
    <w:p w:rsidR="000D4348" w:rsidRPr="00E50215" w:rsidRDefault="000D4348" w:rsidP="000D4348">
      <w:pPr>
        <w:rPr>
          <w:rFonts w:eastAsia="Century Gothic"/>
          <w:lang w:val="fr-CA"/>
        </w:rPr>
      </w:pPr>
      <w:r w:rsidRPr="00E50215">
        <w:rPr>
          <w:rFonts w:eastAsia="Century Gothic"/>
          <w:u w:val="single"/>
          <w:lang w:val="fr-CA"/>
        </w:rPr>
        <w:t>Options thérapeutiques possibles :</w:t>
      </w:r>
      <w:r w:rsidRPr="00E50215">
        <w:rPr>
          <w:rFonts w:eastAsia="Century Gothic"/>
          <w:lang w:val="fr-CA"/>
        </w:rPr>
        <w:t xml:space="preserve">    </w:t>
      </w:r>
      <w:r w:rsidR="00974137" w:rsidRPr="00974137">
        <w:rPr>
          <w:rFonts w:eastAsia="Century Gothic"/>
          <w:b/>
          <w:lang w:val="fr-CA"/>
        </w:rPr>
        <w:t>Nom de l’</w:t>
      </w:r>
      <w:r w:rsidR="004909E8">
        <w:rPr>
          <w:rFonts w:eastAsia="Century Gothic"/>
          <w:b/>
          <w:lang w:val="fr-CA"/>
        </w:rPr>
        <w:t xml:space="preserve">IPP </w:t>
      </w:r>
      <w:r w:rsidRPr="00E50215">
        <w:rPr>
          <w:rFonts w:eastAsia="Century Gothic"/>
          <w:lang w:val="fr-CA"/>
        </w:rPr>
        <w:t>:</w:t>
      </w:r>
      <w:r w:rsidR="00974137">
        <w:rPr>
          <w:rFonts w:eastAsia="Century Gothic"/>
          <w:lang w:val="fr-CA"/>
        </w:rPr>
        <w:t xml:space="preserve"> </w:t>
      </w:r>
      <w:r w:rsidRPr="00E50215">
        <w:rPr>
          <w:rFonts w:eastAsia="Century Gothic"/>
          <w:lang w:val="fr-CA"/>
        </w:rPr>
        <w:t>_________</w:t>
      </w:r>
      <w:r w:rsidR="00974137">
        <w:rPr>
          <w:rFonts w:eastAsia="Century Gothic"/>
          <w:lang w:val="fr-CA"/>
        </w:rPr>
        <w:t>___________</w:t>
      </w:r>
      <w:r w:rsidRPr="00E50215">
        <w:rPr>
          <w:rFonts w:eastAsia="Century Gothic"/>
          <w:lang w:val="fr-CA"/>
        </w:rPr>
        <w:t>_____________</w:t>
      </w:r>
    </w:p>
    <w:p w:rsidR="000D4348" w:rsidRDefault="000D4348" w:rsidP="000D4348">
      <w:pPr>
        <w:rPr>
          <w:rFonts w:eastAsia="Century Gothic"/>
          <w:lang w:val="fr-CA"/>
        </w:rPr>
      </w:pPr>
    </w:p>
    <w:p w:rsidR="004909E8" w:rsidRPr="004909E8" w:rsidRDefault="004909E8" w:rsidP="004909E8">
      <w:pPr>
        <w:jc w:val="center"/>
        <w:rPr>
          <w:rFonts w:eastAsia="Century Gothic"/>
          <w:b/>
          <w:lang w:val="fr-CA"/>
        </w:rPr>
      </w:pPr>
      <w:r w:rsidRPr="00B936B9">
        <w:rPr>
          <w:rFonts w:eastAsia="Century Gothic"/>
          <w:b/>
          <w:lang w:val="fr-CA"/>
        </w:rPr>
        <w:t>*Posologie recommandée : dose comparable à 20 mg d'oméprazole die soit dexlansoprazole 30 mg; ésoméprazole 20 mg ; lansoprazole 30 mg ; pantopr</w:t>
      </w:r>
      <w:r>
        <w:rPr>
          <w:rFonts w:eastAsia="Century Gothic"/>
          <w:b/>
          <w:lang w:val="fr-CA"/>
        </w:rPr>
        <w:t>azole 40 mg; rabéprazole 20 mg*</w:t>
      </w:r>
      <w:r w:rsidRPr="004909E8">
        <w:rPr>
          <w:rFonts w:eastAsia="Century Gothic"/>
          <w:lang w:val="fr-CA"/>
        </w:rPr>
        <w:br/>
      </w:r>
    </w:p>
    <w:p w:rsidR="004909E8" w:rsidRPr="004909E8" w:rsidRDefault="004909E8" w:rsidP="004909E8">
      <w:pPr>
        <w:pStyle w:val="Paragraphedeliste"/>
        <w:numPr>
          <w:ilvl w:val="0"/>
          <w:numId w:val="1"/>
        </w:numPr>
        <w:jc w:val="both"/>
        <w:rPr>
          <w:rFonts w:eastAsia="Century Gothic"/>
          <w:lang w:val="fr-CA"/>
        </w:rPr>
      </w:pPr>
      <w:r w:rsidRPr="00C73702">
        <w:rPr>
          <w:rFonts w:eastAsia="Century Gothic"/>
          <w:lang w:val="fr-CA"/>
        </w:rPr>
        <w:t xml:space="preserve">Cesser l’IPP </w:t>
      </w:r>
      <w:r w:rsidRPr="00C73702">
        <w:rPr>
          <w:rFonts w:eastAsia="Century Gothic"/>
          <w:b/>
          <w:lang w:val="fr-CA"/>
        </w:rPr>
        <w:t>*Réévaluer l’indication de traitement de l’IPP et si ce dernier peut être cessé*</w:t>
      </w:r>
    </w:p>
    <w:p w:rsidR="004909E8" w:rsidRPr="004909E8" w:rsidRDefault="004909E8" w:rsidP="004909E8">
      <w:pPr>
        <w:pStyle w:val="Paragraphedeliste"/>
        <w:jc w:val="both"/>
        <w:rPr>
          <w:rFonts w:eastAsia="Century Gothic"/>
          <w:sz w:val="12"/>
          <w:szCs w:val="12"/>
          <w:lang w:val="fr-CA"/>
        </w:rPr>
      </w:pPr>
    </w:p>
    <w:p w:rsidR="004909E8" w:rsidRPr="004909E8" w:rsidRDefault="004909E8" w:rsidP="004909E8">
      <w:pPr>
        <w:pStyle w:val="Paragraphedeliste"/>
        <w:numPr>
          <w:ilvl w:val="0"/>
          <w:numId w:val="1"/>
        </w:numPr>
        <w:jc w:val="both"/>
        <w:rPr>
          <w:rFonts w:eastAsia="Century Gothic"/>
          <w:lang w:val="fr-CA"/>
        </w:rPr>
      </w:pPr>
      <w:r w:rsidRPr="00C73702">
        <w:rPr>
          <w:rFonts w:eastAsia="Century Gothic"/>
          <w:lang w:val="fr-CA"/>
        </w:rPr>
        <w:t xml:space="preserve">Administrer le sofosbuvir/velpatasvir (Epclusa) et l’IPP en même temps </w:t>
      </w:r>
      <w:r w:rsidRPr="00C73702">
        <w:rPr>
          <w:rFonts w:eastAsia="Century Gothic"/>
          <w:u w:val="single"/>
          <w:lang w:val="fr-CA"/>
        </w:rPr>
        <w:t>en mangeant</w:t>
      </w:r>
    </w:p>
    <w:p w:rsidR="004909E8" w:rsidRPr="004909E8" w:rsidRDefault="004909E8" w:rsidP="004909E8">
      <w:pPr>
        <w:pStyle w:val="Paragraphedeliste"/>
        <w:jc w:val="both"/>
        <w:rPr>
          <w:rFonts w:eastAsia="Century Gothic"/>
          <w:sz w:val="12"/>
          <w:szCs w:val="12"/>
          <w:lang w:val="fr-CA"/>
        </w:rPr>
      </w:pPr>
    </w:p>
    <w:p w:rsidR="004909E8" w:rsidRPr="004909E8" w:rsidRDefault="004909E8" w:rsidP="004909E8">
      <w:pPr>
        <w:pStyle w:val="Paragraphedeliste"/>
        <w:numPr>
          <w:ilvl w:val="0"/>
          <w:numId w:val="1"/>
        </w:numPr>
        <w:jc w:val="both"/>
        <w:rPr>
          <w:rFonts w:eastAsia="Century Gothic"/>
          <w:lang w:val="fr-CA"/>
        </w:rPr>
      </w:pPr>
      <w:r>
        <w:rPr>
          <w:rFonts w:eastAsia="Century Gothic"/>
          <w:lang w:val="fr-CA"/>
        </w:rPr>
        <w:t>Suspendre l’IPP pendant le traitement contre l’hépatite C *Du __________ au ___________*</w:t>
      </w:r>
    </w:p>
    <w:p w:rsidR="004909E8" w:rsidRPr="004909E8" w:rsidRDefault="004909E8" w:rsidP="004909E8">
      <w:pPr>
        <w:pStyle w:val="Paragraphedeliste"/>
        <w:jc w:val="both"/>
        <w:rPr>
          <w:rFonts w:eastAsia="Century Gothic"/>
          <w:sz w:val="12"/>
          <w:szCs w:val="12"/>
          <w:lang w:val="fr-CA"/>
        </w:rPr>
      </w:pPr>
    </w:p>
    <w:p w:rsidR="00974137" w:rsidRPr="00C73702" w:rsidRDefault="004909E8" w:rsidP="004909E8">
      <w:pPr>
        <w:pStyle w:val="Paragraphedeliste"/>
        <w:numPr>
          <w:ilvl w:val="0"/>
          <w:numId w:val="1"/>
        </w:numPr>
        <w:rPr>
          <w:rFonts w:eastAsia="Century Gothic"/>
          <w:lang w:val="fr-CA"/>
        </w:rPr>
      </w:pPr>
      <w:r w:rsidRPr="00C73702">
        <w:rPr>
          <w:rFonts w:eastAsia="Century Gothic"/>
          <w:lang w:val="fr-CA"/>
        </w:rPr>
        <w:t xml:space="preserve">Diminuer la dose de l’IPP à _________________________________ </w:t>
      </w:r>
      <w:r>
        <w:rPr>
          <w:rFonts w:eastAsia="Century Gothic"/>
          <w:lang w:val="fr-CA"/>
        </w:rPr>
        <w:t xml:space="preserve">*Du __________ au ___________* et administrer </w:t>
      </w:r>
      <w:r w:rsidRPr="00E703E3">
        <w:rPr>
          <w:rFonts w:eastAsia="Century Gothic"/>
          <w:lang w:val="fr-CA"/>
        </w:rPr>
        <w:t xml:space="preserve">le sofosbuvir/velpatasvir (Epclusa) et l’IPP en même temps </w:t>
      </w:r>
      <w:r w:rsidRPr="00E703E3">
        <w:rPr>
          <w:rFonts w:eastAsia="Century Gothic"/>
          <w:u w:val="single"/>
          <w:lang w:val="fr-CA"/>
        </w:rPr>
        <w:t>en mangeant</w:t>
      </w:r>
    </w:p>
    <w:p w:rsidR="000D4348" w:rsidRPr="004909E8" w:rsidRDefault="004909E8" w:rsidP="004909E8">
      <w:pPr>
        <w:tabs>
          <w:tab w:val="left" w:pos="990"/>
        </w:tabs>
        <w:jc w:val="both"/>
        <w:rPr>
          <w:rFonts w:eastAsia="Century Gothic"/>
          <w:sz w:val="12"/>
          <w:szCs w:val="12"/>
          <w:lang w:val="fr-CA"/>
        </w:rPr>
      </w:pPr>
      <w:r>
        <w:rPr>
          <w:rFonts w:eastAsia="Century Gothic"/>
          <w:lang w:val="fr-CA"/>
        </w:rPr>
        <w:tab/>
      </w:r>
    </w:p>
    <w:p w:rsidR="000D4348" w:rsidRDefault="000D4348" w:rsidP="000D4348">
      <w:pPr>
        <w:pStyle w:val="Paragraphedeliste"/>
        <w:numPr>
          <w:ilvl w:val="0"/>
          <w:numId w:val="1"/>
        </w:numPr>
        <w:jc w:val="both"/>
        <w:rPr>
          <w:rFonts w:eastAsia="Century Gothic"/>
        </w:rPr>
      </w:pPr>
      <w:r>
        <w:rPr>
          <w:rFonts w:eastAsia="Century Gothic"/>
        </w:rPr>
        <w:t>Autre :_____________________________________________________________________ REN :_______</w:t>
      </w:r>
    </w:p>
    <w:bookmarkEnd w:id="0"/>
    <w:p w:rsidR="000D4348" w:rsidRPr="00C73702" w:rsidRDefault="000D4348" w:rsidP="000D4348">
      <w:pPr>
        <w:jc w:val="both"/>
        <w:rPr>
          <w:rFonts w:eastAsia="Century Gothic"/>
          <w:b/>
          <w:color w:val="000000"/>
          <w:lang w:val="fr-CA"/>
        </w:rPr>
      </w:pPr>
    </w:p>
    <w:p w:rsidR="00251915" w:rsidRDefault="000D4348" w:rsidP="004909E8">
      <w:pPr>
        <w:spacing w:after="160" w:line="256" w:lineRule="auto"/>
        <w:jc w:val="both"/>
        <w:rPr>
          <w:rFonts w:eastAsia="Century Gothic"/>
          <w:lang w:val="fr-CA"/>
        </w:rPr>
      </w:pPr>
      <w:r w:rsidRPr="00C73702">
        <w:rPr>
          <w:rFonts w:eastAsia="Century Gothic"/>
          <w:b/>
          <w:lang w:val="fr-CA"/>
        </w:rPr>
        <w:t xml:space="preserve">Suivi : </w:t>
      </w:r>
      <w:r w:rsidRPr="00C73702">
        <w:rPr>
          <w:rFonts w:eastAsia="Century Gothic"/>
          <w:lang w:val="fr-CA"/>
        </w:rPr>
        <w:t>Efficacité du traitement anti-</w:t>
      </w:r>
      <w:r w:rsidR="003320E6">
        <w:rPr>
          <w:rFonts w:eastAsia="Century Gothic"/>
          <w:lang w:val="fr-CA"/>
        </w:rPr>
        <w:t>VHC</w:t>
      </w:r>
      <w:r w:rsidRPr="00C73702">
        <w:rPr>
          <w:rFonts w:eastAsia="Century Gothic"/>
          <w:lang w:val="fr-CA"/>
        </w:rPr>
        <w:t>.</w:t>
      </w:r>
    </w:p>
    <w:p w:rsidR="00173AEA" w:rsidRDefault="00173AEA" w:rsidP="00251915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N’hésitez pas à communiquer avec nous pour de l’information supplémentaire. </w:t>
      </w:r>
      <w:r w:rsidRPr="00FA6CB7">
        <w:rPr>
          <w:rFonts w:eastAsia="Century Gothic"/>
          <w:lang w:val="fr-CA"/>
        </w:rPr>
        <w:br/>
      </w:r>
      <w:r w:rsidRPr="00251915">
        <w:rPr>
          <w:rFonts w:eastAsia="Century Gothic"/>
          <w:lang w:val="fr-CA"/>
        </w:rPr>
        <w:t>En toute collaboration,</w:t>
      </w:r>
    </w:p>
    <w:p w:rsidR="000D4348" w:rsidRPr="00251915" w:rsidRDefault="000D4348" w:rsidP="00251915">
      <w:pPr>
        <w:rPr>
          <w:rFonts w:eastAsia="Century Gothic"/>
          <w:lang w:val="fr-CA"/>
        </w:rPr>
      </w:pPr>
    </w:p>
    <w:p w:rsidR="00A7767A" w:rsidRPr="00251915" w:rsidRDefault="00173AEA" w:rsidP="00A7767A">
      <w:pPr>
        <w:ind w:left="720" w:firstLine="720"/>
        <w:jc w:val="both"/>
        <w:rPr>
          <w:rFonts w:eastAsia="Century Gothic"/>
          <w:lang w:val="fr-CA"/>
        </w:rPr>
      </w:pPr>
      <w:r w:rsidRPr="00251915">
        <w:rPr>
          <w:rFonts w:eastAsia="Century Gothic"/>
          <w:lang w:val="fr-CA"/>
        </w:rPr>
        <w:t>Pharmacie(ne) :</w:t>
      </w:r>
      <w:r w:rsidR="00A15FA1" w:rsidRPr="00251915">
        <w:rPr>
          <w:rFonts w:eastAsia="Century Gothic"/>
          <w:lang w:val="fr-CA"/>
        </w:rPr>
        <w:t xml:space="preserve"> </w:t>
      </w:r>
      <w:r w:rsidRPr="00251915">
        <w:rPr>
          <w:rFonts w:eastAsia="Century Gothic"/>
          <w:lang w:val="fr-CA"/>
        </w:rPr>
        <w:t>_____________</w:t>
      </w:r>
      <w:r w:rsidR="00A7767A" w:rsidRPr="00251915">
        <w:rPr>
          <w:rFonts w:eastAsia="Century Gothic"/>
          <w:lang w:val="fr-CA"/>
        </w:rPr>
        <w:t>____________________</w:t>
      </w:r>
      <w:r w:rsidRPr="00251915">
        <w:rPr>
          <w:rFonts w:eastAsia="Century Gothic"/>
          <w:lang w:val="fr-CA"/>
        </w:rPr>
        <w:t>____________</w:t>
      </w:r>
    </w:p>
    <w:p w:rsidR="00FA6CB7" w:rsidRPr="00251915" w:rsidRDefault="00A7767A" w:rsidP="00A7767A">
      <w:pPr>
        <w:ind w:left="1440"/>
        <w:rPr>
          <w:rFonts w:eastAsia="Century Gothic"/>
          <w:lang w:val="fr-CA"/>
        </w:rPr>
      </w:pPr>
      <w:r w:rsidRPr="00251915">
        <w:rPr>
          <w:rFonts w:eastAsia="Century Gothic"/>
          <w:color w:val="000000"/>
          <w:sz w:val="10"/>
          <w:szCs w:val="10"/>
          <w:lang w:val="fr-CA"/>
        </w:rPr>
        <w:br/>
      </w:r>
      <w:r w:rsidR="00173AEA" w:rsidRPr="00251915">
        <w:rPr>
          <w:rFonts w:eastAsia="Century Gothic"/>
          <w:color w:val="000000"/>
          <w:lang w:val="fr-CA"/>
        </w:rPr>
        <w:t>#Téléphone :</w:t>
      </w:r>
      <w:r w:rsidRPr="00251915">
        <w:rPr>
          <w:rFonts w:eastAsia="Century Gothic"/>
          <w:color w:val="000000"/>
          <w:lang w:val="fr-CA"/>
        </w:rPr>
        <w:t xml:space="preserve"> ________________</w:t>
      </w:r>
      <w:r w:rsidR="00173AEA" w:rsidRPr="00251915">
        <w:rPr>
          <w:rFonts w:eastAsia="Century Gothic"/>
          <w:color w:val="000000"/>
          <w:lang w:val="fr-CA"/>
        </w:rPr>
        <w:t>______</w:t>
      </w:r>
      <w:r w:rsidR="00173AEA" w:rsidRPr="00251915">
        <w:rPr>
          <w:rFonts w:ascii="Arial" w:eastAsia="Century Gothic" w:hAnsi="Arial" w:cs="Arial"/>
          <w:color w:val="000000"/>
          <w:lang w:val="fr-CA"/>
        </w:rPr>
        <w:t>​</w:t>
      </w:r>
      <w:r w:rsidRPr="00251915">
        <w:rPr>
          <w:rFonts w:ascii="Arial" w:eastAsia="Century Gothic" w:hAnsi="Arial" w:cs="Arial"/>
          <w:color w:val="000000"/>
          <w:lang w:val="fr-CA"/>
        </w:rPr>
        <w:t xml:space="preserve"> </w:t>
      </w:r>
      <w:r w:rsidRPr="00251915">
        <w:rPr>
          <w:rFonts w:eastAsia="Century Gothic"/>
          <w:color w:val="000000"/>
          <w:lang w:val="fr-CA"/>
        </w:rPr>
        <w:t xml:space="preserve">#Télécopieur : __________________________       </w:t>
      </w:r>
      <w:r w:rsidR="002B66D9" w:rsidRPr="00251915">
        <w:rPr>
          <w:rFonts w:eastAsia="Century Gothic"/>
          <w:color w:val="000000"/>
          <w:lang w:val="fr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CB7" w:rsidRPr="000B663C" w:rsidRDefault="00596720" w:rsidP="00596720">
                            <w:pPr>
                              <w:rPr>
                                <w:color w:val="000000"/>
                                <w:lang w:val="fr-CA"/>
                              </w:rPr>
                            </w:pPr>
                            <w:r w:rsidRPr="000B663C">
                              <w:rPr>
                                <w:color w:val="000000"/>
                                <w:lang w:val="fr-CA"/>
                              </w:rPr>
                              <w:t xml:space="preserve">A titre d’ordonnance, dater et signer : </w:t>
                            </w:r>
                          </w:p>
                          <w:p w:rsidR="00173AEA" w:rsidRPr="000B663C" w:rsidRDefault="00173AEA" w:rsidP="003413ED">
                            <w:r w:rsidRPr="000B663C">
                              <w:t xml:space="preserve">Date : _____/_____/_____ </w:t>
                            </w:r>
                            <w:r w:rsidR="003413ED" w:rsidRPr="000B663C">
                              <w:tab/>
                              <w:t xml:space="preserve">        </w:t>
                            </w:r>
                            <w:r w:rsidRPr="000B663C">
                              <w:t xml:space="preserve">Signature </w:t>
                            </w:r>
                            <w:r w:rsidR="00596720" w:rsidRPr="000B663C">
                              <w:t>et licence :_______</w:t>
                            </w:r>
                            <w:r w:rsidR="003413ED" w:rsidRPr="000B663C">
                              <w:t>__________________________</w:t>
                            </w:r>
                            <w:r w:rsidR="00596720" w:rsidRPr="000B663C">
                              <w:t>______</w:t>
                            </w:r>
                            <w:r w:rsidR="00FA6CB7" w:rsidRPr="000B663C">
                              <w:t>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FA6CB7" w:rsidRPr="000B663C" w:rsidRDefault="00596720" w:rsidP="00596720">
                      <w:pPr>
                        <w:rPr>
                          <w:color w:val="000000"/>
                          <w:lang w:val="fr-CA"/>
                        </w:rPr>
                      </w:pPr>
                      <w:r w:rsidRPr="000B663C">
                        <w:rPr>
                          <w:color w:val="000000"/>
                          <w:lang w:val="fr-CA"/>
                        </w:rPr>
                        <w:t xml:space="preserve">A titre d’ordonnance, dater et signer : </w:t>
                      </w:r>
                    </w:p>
                    <w:p w:rsidR="00173AEA" w:rsidRPr="000B663C" w:rsidRDefault="00173AEA" w:rsidP="003413ED">
                      <w:proofErr w:type="gramStart"/>
                      <w:r w:rsidRPr="000B663C">
                        <w:t>Date :</w:t>
                      </w:r>
                      <w:proofErr w:type="gramEnd"/>
                      <w:r w:rsidRPr="000B663C">
                        <w:t xml:space="preserve"> _____/_____/_____ </w:t>
                      </w:r>
                      <w:r w:rsidR="003413ED" w:rsidRPr="000B663C">
                        <w:tab/>
                        <w:t xml:space="preserve">        </w:t>
                      </w:r>
                      <w:r w:rsidRPr="000B663C">
                        <w:t xml:space="preserve">Signature </w:t>
                      </w:r>
                      <w:r w:rsidR="00596720" w:rsidRPr="000B663C">
                        <w:t xml:space="preserve">et </w:t>
                      </w:r>
                      <w:proofErr w:type="spellStart"/>
                      <w:r w:rsidR="00596720" w:rsidRPr="000B663C">
                        <w:t>licence</w:t>
                      </w:r>
                      <w:proofErr w:type="spellEnd"/>
                      <w:r w:rsidR="00596720" w:rsidRPr="000B663C">
                        <w:t> :_______</w:t>
                      </w:r>
                      <w:r w:rsidR="003413ED" w:rsidRPr="000B663C">
                        <w:t>__________________________</w:t>
                      </w:r>
                      <w:r w:rsidR="00596720" w:rsidRPr="000B663C">
                        <w:t>______</w:t>
                      </w:r>
                      <w:r w:rsidR="00FA6CB7" w:rsidRPr="000B663C">
                        <w:t>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default" r:id="rId9"/>
      <w:footerReference w:type="default" r:id="rId10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F9" w:rsidRDefault="004A08F9" w:rsidP="00CD5A4A">
      <w:r>
        <w:separator/>
      </w:r>
    </w:p>
  </w:endnote>
  <w:endnote w:type="continuationSeparator" w:id="0">
    <w:p w:rsidR="004A08F9" w:rsidRDefault="004A08F9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FA6CB7" w:rsidRDefault="001B0F0C" w:rsidP="003102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fr-CA"/>
      </w:rPr>
    </w:pPr>
    <w:r w:rsidRPr="00FA6CB7">
      <w:rPr>
        <w:lang w:val="fr-CA"/>
      </w:rPr>
      <w:t>Pour les</w:t>
    </w:r>
    <w:r w:rsidR="00173AEA" w:rsidRPr="00FA6CB7">
      <w:rPr>
        <w:lang w:val="fr-CA"/>
      </w:rPr>
      <w:t xml:space="preserve"> références</w:t>
    </w:r>
    <w:r w:rsidRPr="00FA6CB7">
      <w:rPr>
        <w:lang w:val="fr-CA"/>
      </w:rPr>
      <w:t xml:space="preserve">, consulter le site : </w:t>
    </w:r>
    <w:hyperlink r:id="rId1">
      <w:r w:rsidRPr="00FA6CB7">
        <w:rPr>
          <w:color w:val="0563C1"/>
          <w:u w:val="single"/>
          <w:lang w:val="fr-CA"/>
        </w:rPr>
        <w:t>www.guidetherapeutiqueVIH.com</w:t>
      </w:r>
    </w:hyperlink>
    <w:r w:rsidRPr="00FA6CB7">
      <w:rPr>
        <w:color w:val="000000"/>
        <w:lang w:val="fr-CA"/>
      </w:rPr>
      <w:t xml:space="preserve">                           </w:t>
    </w:r>
    <w:r w:rsidR="00D158CB">
      <w:rPr>
        <w:lang w:val="fr-CA"/>
      </w:rPr>
      <w:t>Mars 2021</w:t>
    </w:r>
    <w:r w:rsidRPr="00FA6CB7"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F9" w:rsidRDefault="004A08F9" w:rsidP="00CD5A4A">
      <w:r>
        <w:separator/>
      </w:r>
    </w:p>
  </w:footnote>
  <w:footnote w:type="continuationSeparator" w:id="0">
    <w:p w:rsidR="004A08F9" w:rsidRDefault="004A08F9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A08F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A08F9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149"/>
    <w:multiLevelType w:val="multilevel"/>
    <w:tmpl w:val="43186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36480"/>
    <w:multiLevelType w:val="hybridMultilevel"/>
    <w:tmpl w:val="B860E51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55216"/>
    <w:rsid w:val="0005559A"/>
    <w:rsid w:val="00056710"/>
    <w:rsid w:val="00057E8E"/>
    <w:rsid w:val="000608A4"/>
    <w:rsid w:val="00065C97"/>
    <w:rsid w:val="0006785D"/>
    <w:rsid w:val="00075017"/>
    <w:rsid w:val="000778AF"/>
    <w:rsid w:val="00094ACE"/>
    <w:rsid w:val="000B663C"/>
    <w:rsid w:val="000C1844"/>
    <w:rsid w:val="000D4348"/>
    <w:rsid w:val="0010058A"/>
    <w:rsid w:val="001448D8"/>
    <w:rsid w:val="00144C55"/>
    <w:rsid w:val="00145F1B"/>
    <w:rsid w:val="00147799"/>
    <w:rsid w:val="00155289"/>
    <w:rsid w:val="0016597E"/>
    <w:rsid w:val="00173AEA"/>
    <w:rsid w:val="0018137E"/>
    <w:rsid w:val="00183D2E"/>
    <w:rsid w:val="00186AE9"/>
    <w:rsid w:val="00186C54"/>
    <w:rsid w:val="001A0F28"/>
    <w:rsid w:val="001A1362"/>
    <w:rsid w:val="001B0F0C"/>
    <w:rsid w:val="001B649A"/>
    <w:rsid w:val="001C7F09"/>
    <w:rsid w:val="001F4EC4"/>
    <w:rsid w:val="00200B48"/>
    <w:rsid w:val="002128AF"/>
    <w:rsid w:val="002264DF"/>
    <w:rsid w:val="00251915"/>
    <w:rsid w:val="00261691"/>
    <w:rsid w:val="002A602E"/>
    <w:rsid w:val="002A76EB"/>
    <w:rsid w:val="002B66D9"/>
    <w:rsid w:val="002B671D"/>
    <w:rsid w:val="002E51C3"/>
    <w:rsid w:val="002F6838"/>
    <w:rsid w:val="0030271F"/>
    <w:rsid w:val="00310298"/>
    <w:rsid w:val="003320E6"/>
    <w:rsid w:val="003413ED"/>
    <w:rsid w:val="0036414F"/>
    <w:rsid w:val="00385217"/>
    <w:rsid w:val="0039680A"/>
    <w:rsid w:val="003A2EBB"/>
    <w:rsid w:val="003C6E8F"/>
    <w:rsid w:val="003D7BCD"/>
    <w:rsid w:val="00401C9F"/>
    <w:rsid w:val="004066E9"/>
    <w:rsid w:val="00427BE2"/>
    <w:rsid w:val="00442536"/>
    <w:rsid w:val="0044508D"/>
    <w:rsid w:val="00446286"/>
    <w:rsid w:val="00467422"/>
    <w:rsid w:val="004909E8"/>
    <w:rsid w:val="00497C72"/>
    <w:rsid w:val="004A08F9"/>
    <w:rsid w:val="00533604"/>
    <w:rsid w:val="00547DB4"/>
    <w:rsid w:val="005733C2"/>
    <w:rsid w:val="00593175"/>
    <w:rsid w:val="00596720"/>
    <w:rsid w:val="005B70C4"/>
    <w:rsid w:val="005B7D5C"/>
    <w:rsid w:val="005C1951"/>
    <w:rsid w:val="00602BFA"/>
    <w:rsid w:val="00602E97"/>
    <w:rsid w:val="00612E24"/>
    <w:rsid w:val="006150EE"/>
    <w:rsid w:val="006322CD"/>
    <w:rsid w:val="00661EF0"/>
    <w:rsid w:val="00662109"/>
    <w:rsid w:val="006644BE"/>
    <w:rsid w:val="00677AB8"/>
    <w:rsid w:val="006A74B9"/>
    <w:rsid w:val="006B2F22"/>
    <w:rsid w:val="006C6371"/>
    <w:rsid w:val="006E19AB"/>
    <w:rsid w:val="006E1A02"/>
    <w:rsid w:val="006F222B"/>
    <w:rsid w:val="006F6780"/>
    <w:rsid w:val="0071460A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64DD8"/>
    <w:rsid w:val="00777EBA"/>
    <w:rsid w:val="007966D6"/>
    <w:rsid w:val="00800BC3"/>
    <w:rsid w:val="00843D3C"/>
    <w:rsid w:val="008607B8"/>
    <w:rsid w:val="00863E63"/>
    <w:rsid w:val="008778DB"/>
    <w:rsid w:val="008A5DD3"/>
    <w:rsid w:val="008B019C"/>
    <w:rsid w:val="008C3534"/>
    <w:rsid w:val="008C72A6"/>
    <w:rsid w:val="008D37E0"/>
    <w:rsid w:val="00917F91"/>
    <w:rsid w:val="00922813"/>
    <w:rsid w:val="0092554F"/>
    <w:rsid w:val="00937E39"/>
    <w:rsid w:val="009612DA"/>
    <w:rsid w:val="00961E4E"/>
    <w:rsid w:val="00973CB7"/>
    <w:rsid w:val="00974137"/>
    <w:rsid w:val="009C0A92"/>
    <w:rsid w:val="009F6D25"/>
    <w:rsid w:val="00A15B2C"/>
    <w:rsid w:val="00A15FA1"/>
    <w:rsid w:val="00A302C4"/>
    <w:rsid w:val="00A32F36"/>
    <w:rsid w:val="00A35FE6"/>
    <w:rsid w:val="00A47384"/>
    <w:rsid w:val="00A47E1B"/>
    <w:rsid w:val="00A71576"/>
    <w:rsid w:val="00A729BC"/>
    <w:rsid w:val="00A7767A"/>
    <w:rsid w:val="00AD09F7"/>
    <w:rsid w:val="00AF40AB"/>
    <w:rsid w:val="00AF4C12"/>
    <w:rsid w:val="00B061EE"/>
    <w:rsid w:val="00B4698E"/>
    <w:rsid w:val="00B5500A"/>
    <w:rsid w:val="00B76713"/>
    <w:rsid w:val="00B906ED"/>
    <w:rsid w:val="00B93894"/>
    <w:rsid w:val="00BA31D8"/>
    <w:rsid w:val="00BA41EF"/>
    <w:rsid w:val="00BB5245"/>
    <w:rsid w:val="00BC2DE7"/>
    <w:rsid w:val="00BC78B5"/>
    <w:rsid w:val="00BE5B02"/>
    <w:rsid w:val="00BE5D95"/>
    <w:rsid w:val="00C45331"/>
    <w:rsid w:val="00C47F74"/>
    <w:rsid w:val="00C50966"/>
    <w:rsid w:val="00C754CB"/>
    <w:rsid w:val="00C835EA"/>
    <w:rsid w:val="00C917C3"/>
    <w:rsid w:val="00CC1A72"/>
    <w:rsid w:val="00CD4792"/>
    <w:rsid w:val="00CD5A4A"/>
    <w:rsid w:val="00CF224A"/>
    <w:rsid w:val="00CF745C"/>
    <w:rsid w:val="00D05073"/>
    <w:rsid w:val="00D158CB"/>
    <w:rsid w:val="00D213AD"/>
    <w:rsid w:val="00D809DD"/>
    <w:rsid w:val="00D86D63"/>
    <w:rsid w:val="00DC7986"/>
    <w:rsid w:val="00E01BA6"/>
    <w:rsid w:val="00E05B46"/>
    <w:rsid w:val="00E20E8A"/>
    <w:rsid w:val="00E417B9"/>
    <w:rsid w:val="00E45C0C"/>
    <w:rsid w:val="00E47E23"/>
    <w:rsid w:val="00E6747F"/>
    <w:rsid w:val="00E737D5"/>
    <w:rsid w:val="00EC46A5"/>
    <w:rsid w:val="00EF18B6"/>
    <w:rsid w:val="00F2321C"/>
    <w:rsid w:val="00F25FFB"/>
    <w:rsid w:val="00F57980"/>
    <w:rsid w:val="00F76846"/>
    <w:rsid w:val="00F87ED5"/>
    <w:rsid w:val="00F940B4"/>
    <w:rsid w:val="00FA0AEF"/>
    <w:rsid w:val="00FA6CB7"/>
    <w:rsid w:val="00FB3328"/>
    <w:rsid w:val="00FC6F02"/>
    <w:rsid w:val="00FD079F"/>
    <w:rsid w:val="00FD3CE4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table" w:customStyle="1" w:styleId="GridTable2-Accent31">
    <w:name w:val="Grid Table 2 - Accent 31"/>
    <w:basedOn w:val="TableauNormal"/>
    <w:uiPriority w:val="47"/>
    <w:rsid w:val="004909E8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table" w:customStyle="1" w:styleId="GridTable2-Accent31">
    <w:name w:val="Grid Table 2 - Accent 31"/>
    <w:basedOn w:val="TableauNormal"/>
    <w:uiPriority w:val="47"/>
    <w:rsid w:val="004909E8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C2EA-B987-437A-8C59-BA77203E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OPINIONS-DIGOXINE-Final.dotm</Template>
  <TotalTime>0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2348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4</cp:revision>
  <cp:lastPrinted>2019-04-24T20:30:00Z</cp:lastPrinted>
  <dcterms:created xsi:type="dcterms:W3CDTF">2021-03-15T12:53:00Z</dcterms:created>
  <dcterms:modified xsi:type="dcterms:W3CDTF">2021-10-29T07:32:00Z</dcterms:modified>
</cp:coreProperties>
</file>