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0D4348">
        <w:rPr>
          <w:rFonts w:eastAsia="Century Gothic"/>
          <w:b/>
          <w:lang w:val="fr-CA"/>
        </w:rPr>
        <w:t xml:space="preserve">Interaction </w:t>
      </w:r>
      <w:r w:rsidR="000D4348" w:rsidRPr="000D4348">
        <w:rPr>
          <w:rFonts w:eastAsia="Century Gothic"/>
          <w:b/>
          <w:lang w:val="fr-CA"/>
        </w:rPr>
        <w:t xml:space="preserve">entre les agents modifiant le pH gastrique </w:t>
      </w:r>
      <w:r w:rsidR="00251915" w:rsidRPr="00251915">
        <w:rPr>
          <w:rFonts w:eastAsia="Century Gothic"/>
          <w:b/>
          <w:lang w:val="fr-CA"/>
        </w:rPr>
        <w:t>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CF745C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B906ED" w:rsidRDefault="0036414F" w:rsidP="00B906ED">
      <w:pPr>
        <w:ind w:left="720"/>
        <w:rPr>
          <w:color w:val="000000"/>
          <w:lang w:val="fr-CA"/>
        </w:rPr>
      </w:pPr>
      <w:r w:rsidRPr="0036414F">
        <w:rPr>
          <w:b/>
          <w:lang w:val="fr-CA"/>
        </w:rPr>
        <w:t>Sofosbuvir / Velpatasvir (Epclusa)</w:t>
      </w:r>
      <w:r w:rsidR="00B906ED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FB3328" w:rsidRPr="00B906ED">
        <w:rPr>
          <w:b/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Pr="000D4348" w:rsidRDefault="00974137" w:rsidP="00B906ED">
      <w:pPr>
        <w:ind w:left="720"/>
        <w:rPr>
          <w:color w:val="000000"/>
          <w:lang w:val="fr-CA"/>
        </w:rPr>
      </w:pPr>
      <w:r w:rsidRPr="00974137">
        <w:rPr>
          <w:b/>
          <w:lang w:val="fr-CA"/>
        </w:rPr>
        <w:t>Anti-H</w:t>
      </w:r>
      <w:r w:rsidRPr="002A602E">
        <w:rPr>
          <w:b/>
          <w:vertAlign w:val="subscript"/>
          <w:lang w:val="fr-CA"/>
        </w:rPr>
        <w:t>2</w:t>
      </w:r>
      <w:r w:rsidRPr="00974137">
        <w:rPr>
          <w:b/>
          <w:lang w:val="fr-CA"/>
        </w:rPr>
        <w:t xml:space="preserve"> : famotidine (Pepcid), ranitidine (Zantac) ou équivalent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0D4348" w:rsidRPr="00C73702" w:rsidRDefault="00251915" w:rsidP="000D4348">
      <w:pPr>
        <w:widowControl w:val="0"/>
        <w:rPr>
          <w:rFonts w:eastAsia="Century Gothic"/>
          <w:color w:val="000000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0D4348" w:rsidRPr="00C73702">
        <w:rPr>
          <w:rFonts w:eastAsia="Century Gothic"/>
          <w:color w:val="000000"/>
          <w:lang w:val="fr-CA"/>
        </w:rPr>
        <w:t xml:space="preserve">Les </w:t>
      </w:r>
      <w:r w:rsidR="00974137" w:rsidRPr="00974137">
        <w:rPr>
          <w:rFonts w:eastAsia="Century Gothic"/>
          <w:color w:val="000000"/>
          <w:lang w:val="fr-CA"/>
        </w:rPr>
        <w:t>anti-H</w:t>
      </w:r>
      <w:r w:rsidR="00974137" w:rsidRPr="002A602E">
        <w:rPr>
          <w:rFonts w:eastAsia="Century Gothic"/>
          <w:color w:val="000000"/>
          <w:vertAlign w:val="subscript"/>
          <w:lang w:val="fr-CA"/>
        </w:rPr>
        <w:t>2</w:t>
      </w:r>
      <w:r w:rsidR="00974137" w:rsidRPr="00974137">
        <w:rPr>
          <w:rFonts w:eastAsia="Century Gothic"/>
          <w:color w:val="000000"/>
          <w:lang w:val="fr-CA"/>
        </w:rPr>
        <w:t xml:space="preserve"> </w:t>
      </w:r>
      <w:r w:rsidR="000D4348" w:rsidRPr="00C73702">
        <w:rPr>
          <w:rFonts w:eastAsia="Century Gothic"/>
          <w:color w:val="000000"/>
          <w:lang w:val="fr-CA"/>
        </w:rPr>
        <w:t xml:space="preserve">augmentent le pH gastrique. La solubilité, l'absorption et </w:t>
      </w:r>
      <w:r w:rsidR="00CF745C">
        <w:rPr>
          <w:rFonts w:eastAsia="Century Gothic"/>
          <w:color w:val="000000"/>
          <w:lang w:val="fr-CA"/>
        </w:rPr>
        <w:t xml:space="preserve">la concentration plasmatique </w:t>
      </w:r>
      <w:r w:rsidR="000D4348" w:rsidRPr="00C73702">
        <w:rPr>
          <w:rFonts w:eastAsia="Century Gothic"/>
          <w:color w:val="000000"/>
          <w:lang w:val="fr-CA"/>
        </w:rPr>
        <w:t>du velpatasvir peuvent être diminuées.</w:t>
      </w:r>
    </w:p>
    <w:p w:rsidR="000D4348" w:rsidRPr="00C73702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entury Gothic"/>
          <w:lang w:val="fr-CA"/>
        </w:rPr>
      </w:pPr>
      <w:r w:rsidRPr="00C73702">
        <w:rPr>
          <w:rFonts w:eastAsia="Century Gothic"/>
          <w:lang w:val="fr-CA"/>
        </w:rPr>
        <w:t>Ceci</w:t>
      </w:r>
      <w:r w:rsidRPr="00C73702">
        <w:rPr>
          <w:rFonts w:eastAsia="Century Gothic"/>
          <w:color w:val="000000"/>
          <w:lang w:val="fr-CA"/>
        </w:rPr>
        <w:t xml:space="preserve"> peut donc diminuer de fa</w:t>
      </w:r>
      <w:r w:rsidRPr="00C73702">
        <w:rPr>
          <w:rFonts w:eastAsia="Century Gothic"/>
          <w:lang w:val="fr-CA"/>
        </w:rPr>
        <w:t xml:space="preserve">çon </w:t>
      </w:r>
      <w:r w:rsidRPr="00C73702">
        <w:rPr>
          <w:rFonts w:eastAsia="Century Gothic"/>
          <w:color w:val="000000"/>
          <w:lang w:val="fr-CA"/>
        </w:rPr>
        <w:t>significativ</w:t>
      </w:r>
      <w:r w:rsidRPr="00C73702">
        <w:rPr>
          <w:rFonts w:eastAsia="Century Gothic"/>
          <w:lang w:val="fr-CA"/>
        </w:rPr>
        <w:t xml:space="preserve">e </w:t>
      </w:r>
      <w:r w:rsidRPr="00C73702">
        <w:rPr>
          <w:rFonts w:eastAsia="Century Gothic"/>
          <w:color w:val="000000"/>
          <w:lang w:val="fr-CA"/>
        </w:rPr>
        <w:t>l’efficacité de certains</w:t>
      </w:r>
      <w:r w:rsidRPr="00C73702">
        <w:rPr>
          <w:rFonts w:eastAsia="Century Gothic"/>
          <w:lang w:val="fr-CA"/>
        </w:rPr>
        <w:t xml:space="preserve"> anti-VHC.</w:t>
      </w:r>
    </w:p>
    <w:p w:rsidR="000D4348" w:rsidRPr="00C73702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fr-CA"/>
        </w:rPr>
      </w:pPr>
    </w:p>
    <w:p w:rsidR="0036414F" w:rsidRPr="0036414F" w:rsidRDefault="002A602E" w:rsidP="0036414F">
      <w:pPr>
        <w:jc w:val="center"/>
        <w:rPr>
          <w:rFonts w:eastAsia="Century Gothic"/>
          <w:b/>
          <w:i/>
          <w:lang w:val="fr-CA"/>
        </w:rPr>
      </w:pPr>
      <w:bookmarkStart w:id="0" w:name="bmAutoText1"/>
      <w:r w:rsidRPr="002A602E">
        <w:rPr>
          <w:rFonts w:eastAsia="Century Gothic"/>
          <w:b/>
          <w:bCs/>
          <w:i/>
          <w:lang w:val="fr-CA"/>
        </w:rPr>
        <w:t>Sofosbuvir / Velpatasvir (Epclusa)</w:t>
      </w:r>
      <w:r w:rsidR="000D4348" w:rsidRPr="00E50215">
        <w:rPr>
          <w:rFonts w:eastAsia="Century Gothic"/>
          <w:b/>
          <w:bCs/>
          <w:i/>
          <w:lang w:val="fr-CA"/>
        </w:rPr>
        <w:t xml:space="preserve"> et anti</w:t>
      </w:r>
      <w:r w:rsidR="008E2D85">
        <w:rPr>
          <w:rFonts w:eastAsia="Century Gothic"/>
          <w:b/>
          <w:bCs/>
          <w:i/>
          <w:lang w:val="fr-CA"/>
        </w:rPr>
        <w:t>-</w:t>
      </w:r>
      <w:r>
        <w:rPr>
          <w:rFonts w:eastAsia="Century Gothic"/>
          <w:b/>
          <w:bCs/>
          <w:i/>
          <w:lang w:val="fr-CA"/>
        </w:rPr>
        <w:t>H</w:t>
      </w:r>
      <w:r w:rsidRPr="002A602E">
        <w:rPr>
          <w:rFonts w:eastAsia="Century Gothic"/>
          <w:b/>
          <w:bCs/>
          <w:i/>
          <w:vertAlign w:val="subscript"/>
          <w:lang w:val="fr-CA"/>
        </w:rPr>
        <w:t>2</w:t>
      </w:r>
      <w:r w:rsidR="000D4348" w:rsidRPr="00E50215">
        <w:rPr>
          <w:rFonts w:eastAsia="Century Gothic"/>
          <w:i/>
          <w:lang w:val="fr-CA"/>
        </w:rPr>
        <w:t> </w:t>
      </w:r>
      <w:r w:rsidR="000D4348" w:rsidRPr="00E50215">
        <w:rPr>
          <w:rFonts w:eastAsia="Century Gothic"/>
          <w:b/>
          <w:i/>
          <w:lang w:val="fr-CA"/>
        </w:rPr>
        <w:t xml:space="preserve">: </w:t>
      </w:r>
    </w:p>
    <w:p w:rsidR="000D4348" w:rsidRPr="00E50215" w:rsidRDefault="000D4348" w:rsidP="000D4348">
      <w:pPr>
        <w:rPr>
          <w:rFonts w:eastAsia="Century Gothic"/>
          <w:lang w:val="fr-CA"/>
        </w:rPr>
      </w:pPr>
    </w:p>
    <w:p w:rsidR="000D4348" w:rsidRPr="00E50215" w:rsidRDefault="000D4348" w:rsidP="000D4348">
      <w:pPr>
        <w:rPr>
          <w:rFonts w:eastAsia="Century Gothic"/>
          <w:lang w:val="fr-CA"/>
        </w:rPr>
      </w:pPr>
      <w:r w:rsidRPr="00E50215">
        <w:rPr>
          <w:rFonts w:eastAsia="Century Gothic"/>
          <w:u w:val="single"/>
          <w:lang w:val="fr-CA"/>
        </w:rPr>
        <w:t>Information supplémentaire :</w:t>
      </w:r>
      <w:r w:rsidRPr="00E50215">
        <w:rPr>
          <w:rFonts w:eastAsia="Century Gothic"/>
          <w:u w:val="single"/>
          <w:lang w:val="fr-CA"/>
        </w:rPr>
        <w:br/>
      </w:r>
      <w:r w:rsidR="0036414F" w:rsidRPr="0036414F">
        <w:rPr>
          <w:rFonts w:eastAsia="Century Gothic"/>
          <w:bCs/>
          <w:lang w:val="fr-CA"/>
        </w:rPr>
        <w:t>Une étude pharmacocinétique entre le Sofosbuvir / Velpatasvir (Epclusa) et la Famotidine 40 mg pris en même temps ou 12 heures après l’anti-VHC ne démontre aucune diminution significative de la SSC. Selon la monographie, il est donc possible d’associer l’Epclusa à un équivalent de 40 mg de famotidine si ce dernier est pris en même temps ou 12 heures après l’anti-VHC.</w:t>
      </w:r>
    </w:p>
    <w:p w:rsidR="000D4348" w:rsidRDefault="000D4348" w:rsidP="000D4348">
      <w:pPr>
        <w:rPr>
          <w:rFonts w:eastAsia="Century Gothic"/>
          <w:rtl/>
        </w:rPr>
      </w:pPr>
    </w:p>
    <w:p w:rsidR="000D4348" w:rsidRPr="00E50215" w:rsidRDefault="000D4348" w:rsidP="000D4348">
      <w:pPr>
        <w:rPr>
          <w:rFonts w:eastAsia="Century Gothic"/>
          <w:lang w:val="fr-CA"/>
        </w:rPr>
      </w:pPr>
      <w:r w:rsidRPr="00E50215">
        <w:rPr>
          <w:rFonts w:eastAsia="Century Gothic"/>
          <w:u w:val="single"/>
          <w:lang w:val="fr-CA"/>
        </w:rPr>
        <w:t>Options thérapeutiques possibles :</w:t>
      </w:r>
      <w:r w:rsidRPr="00E50215">
        <w:rPr>
          <w:rFonts w:eastAsia="Century Gothic"/>
          <w:lang w:val="fr-CA"/>
        </w:rPr>
        <w:t xml:space="preserve">    </w:t>
      </w:r>
      <w:r w:rsidR="00974137" w:rsidRPr="00974137">
        <w:rPr>
          <w:rFonts w:eastAsia="Century Gothic"/>
          <w:b/>
          <w:lang w:val="fr-CA"/>
        </w:rPr>
        <w:t>Nom de l’Anti-H</w:t>
      </w:r>
      <w:r w:rsidR="00974137" w:rsidRPr="00764DD8">
        <w:rPr>
          <w:rFonts w:eastAsia="Century Gothic"/>
          <w:b/>
          <w:vertAlign w:val="subscript"/>
          <w:lang w:val="fr-CA"/>
        </w:rPr>
        <w:t>2</w:t>
      </w:r>
      <w:r w:rsidR="00974137">
        <w:rPr>
          <w:rFonts w:eastAsia="Century Gothic"/>
          <w:b/>
          <w:lang w:val="fr-CA"/>
        </w:rPr>
        <w:t xml:space="preserve"> </w:t>
      </w:r>
      <w:r w:rsidRPr="00E50215">
        <w:rPr>
          <w:rFonts w:eastAsia="Century Gothic"/>
          <w:lang w:val="fr-CA"/>
        </w:rPr>
        <w:t>:</w:t>
      </w:r>
      <w:r w:rsidR="00974137">
        <w:rPr>
          <w:rFonts w:eastAsia="Century Gothic"/>
          <w:lang w:val="fr-CA"/>
        </w:rPr>
        <w:t xml:space="preserve"> </w:t>
      </w:r>
      <w:r w:rsidRPr="00E50215">
        <w:rPr>
          <w:rFonts w:eastAsia="Century Gothic"/>
          <w:lang w:val="fr-CA"/>
        </w:rPr>
        <w:t>_________</w:t>
      </w:r>
      <w:r w:rsidR="00974137">
        <w:rPr>
          <w:rFonts w:eastAsia="Century Gothic"/>
          <w:lang w:val="fr-CA"/>
        </w:rPr>
        <w:t>___________</w:t>
      </w:r>
      <w:r w:rsidRPr="00E50215">
        <w:rPr>
          <w:rFonts w:eastAsia="Century Gothic"/>
          <w:lang w:val="fr-CA"/>
        </w:rPr>
        <w:t>_____________</w:t>
      </w:r>
    </w:p>
    <w:p w:rsidR="000D4348" w:rsidRDefault="000D4348" w:rsidP="000D4348">
      <w:pPr>
        <w:rPr>
          <w:rFonts w:eastAsia="Century Gothic"/>
          <w:lang w:val="fr-CA"/>
        </w:rPr>
      </w:pPr>
    </w:p>
    <w:p w:rsidR="0036414F" w:rsidRDefault="0036414F" w:rsidP="0036414F">
      <w:pPr>
        <w:jc w:val="center"/>
        <w:rPr>
          <w:rFonts w:eastAsia="Century Gothic"/>
          <w:b/>
          <w:lang w:val="fr-CA"/>
        </w:rPr>
      </w:pPr>
      <w:r w:rsidRPr="0036414F">
        <w:rPr>
          <w:rFonts w:eastAsia="Century Gothic"/>
          <w:b/>
          <w:lang w:val="fr-CA"/>
        </w:rPr>
        <w:t>*Posologie recommandée : dose n’excédant pas 40 mg de famotidine BID ou l'équivalent*</w:t>
      </w:r>
    </w:p>
    <w:p w:rsidR="0036414F" w:rsidRPr="00E50215" w:rsidRDefault="0036414F" w:rsidP="000D4348">
      <w:pPr>
        <w:rPr>
          <w:rFonts w:eastAsia="Century Gothic"/>
          <w:lang w:val="fr-CA"/>
        </w:rPr>
      </w:pPr>
    </w:p>
    <w:p w:rsidR="000D4348" w:rsidRPr="00974137" w:rsidRDefault="00974137" w:rsidP="002A602E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974137">
        <w:rPr>
          <w:rFonts w:eastAsia="Century Gothic"/>
          <w:lang w:val="fr-CA"/>
        </w:rPr>
        <w:t>Administrer l’anti-H</w:t>
      </w:r>
      <w:r w:rsidRPr="00764DD8">
        <w:rPr>
          <w:rFonts w:eastAsia="Century Gothic"/>
          <w:vertAlign w:val="subscript"/>
          <w:lang w:val="fr-CA"/>
        </w:rPr>
        <w:t>2</w:t>
      </w:r>
      <w:r w:rsidRPr="00974137">
        <w:rPr>
          <w:rFonts w:eastAsia="Century Gothic"/>
          <w:lang w:val="fr-CA"/>
        </w:rPr>
        <w:t xml:space="preserve"> en même temps et/ou 12 heures après le</w:t>
      </w:r>
      <w:r w:rsidR="000D4348" w:rsidRPr="00C73702">
        <w:rPr>
          <w:rFonts w:eastAsia="Century Gothic"/>
          <w:lang w:val="fr-CA"/>
        </w:rPr>
        <w:t xml:space="preserve"> </w:t>
      </w:r>
      <w:r w:rsidR="002A602E" w:rsidRPr="002A602E">
        <w:rPr>
          <w:rFonts w:eastAsia="Century Gothic"/>
          <w:lang w:val="fr-CA"/>
        </w:rPr>
        <w:t>Sofosbuvir / Velpatasvir (Epclusa)</w:t>
      </w:r>
      <w:r w:rsidR="000D4348" w:rsidRPr="00974137">
        <w:rPr>
          <w:rFonts w:eastAsia="Century Gothic"/>
          <w:lang w:val="fr-CA"/>
        </w:rPr>
        <w:br/>
      </w:r>
    </w:p>
    <w:p w:rsidR="000D4348" w:rsidRDefault="000D4348" w:rsidP="000D4348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>
        <w:rPr>
          <w:rFonts w:eastAsia="Century Gothic"/>
          <w:lang w:val="fr-CA"/>
        </w:rPr>
        <w:t xml:space="preserve">Suspendre l’antiacide pendant le traitement contre l’hépatite C </w:t>
      </w:r>
      <w:r>
        <w:rPr>
          <w:rFonts w:eastAsia="Century Gothic"/>
          <w:lang w:val="fr-CA"/>
        </w:rPr>
        <w:br/>
        <w:t>*Du __________ au ___________*</w:t>
      </w:r>
    </w:p>
    <w:p w:rsidR="00974137" w:rsidRDefault="00974137" w:rsidP="00974137">
      <w:pPr>
        <w:pStyle w:val="Paragraphedeliste"/>
        <w:rPr>
          <w:rFonts w:eastAsia="Century Gothic"/>
          <w:lang w:val="fr-CA"/>
        </w:rPr>
      </w:pPr>
    </w:p>
    <w:p w:rsidR="00974137" w:rsidRPr="00C73702" w:rsidRDefault="00974137" w:rsidP="002A602E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974137">
        <w:rPr>
          <w:rFonts w:eastAsia="Century Gothic"/>
          <w:lang w:val="fr-CA"/>
        </w:rPr>
        <w:t>Diminuer la dose de l’Anti-H</w:t>
      </w:r>
      <w:r w:rsidRPr="00764DD8">
        <w:rPr>
          <w:rFonts w:eastAsia="Century Gothic"/>
          <w:vertAlign w:val="subscript"/>
          <w:lang w:val="fr-CA"/>
        </w:rPr>
        <w:t>2</w:t>
      </w:r>
      <w:r w:rsidRPr="00974137">
        <w:rPr>
          <w:rFonts w:eastAsia="Century Gothic"/>
          <w:lang w:val="fr-CA"/>
        </w:rPr>
        <w:t xml:space="preserve"> à _________________________ *Du __________ au ___________* et administrer l’anti-H</w:t>
      </w:r>
      <w:r w:rsidRPr="00764DD8">
        <w:rPr>
          <w:rFonts w:eastAsia="Century Gothic"/>
          <w:vertAlign w:val="subscript"/>
          <w:lang w:val="fr-CA"/>
        </w:rPr>
        <w:t>2</w:t>
      </w:r>
      <w:r w:rsidRPr="00974137">
        <w:rPr>
          <w:rFonts w:eastAsia="Century Gothic"/>
          <w:lang w:val="fr-CA"/>
        </w:rPr>
        <w:t xml:space="preserve"> en même temps et/ou 12 heures après le </w:t>
      </w:r>
      <w:r w:rsidR="002A602E" w:rsidRPr="002A602E">
        <w:rPr>
          <w:rFonts w:eastAsia="Century Gothic"/>
          <w:lang w:val="fr-CA"/>
        </w:rPr>
        <w:t>Sofosbuvir / Velpatasvir (Epclusa)</w:t>
      </w:r>
    </w:p>
    <w:p w:rsidR="000D4348" w:rsidRPr="00E50215" w:rsidRDefault="000D4348" w:rsidP="000D4348">
      <w:pPr>
        <w:jc w:val="both"/>
        <w:rPr>
          <w:rFonts w:eastAsia="Century Gothic"/>
          <w:lang w:val="fr-CA"/>
        </w:rPr>
      </w:pPr>
    </w:p>
    <w:p w:rsidR="000D4348" w:rsidRDefault="000D4348" w:rsidP="000D4348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Autre :_____________________________________________________________________ REN :_______</w:t>
      </w:r>
    </w:p>
    <w:bookmarkEnd w:id="0"/>
    <w:p w:rsidR="000D4348" w:rsidRPr="00C73702" w:rsidRDefault="000D4348" w:rsidP="000D4348">
      <w:pPr>
        <w:jc w:val="both"/>
        <w:rPr>
          <w:rFonts w:eastAsia="Century Gothic"/>
          <w:b/>
          <w:color w:val="000000"/>
          <w:lang w:val="fr-CA"/>
        </w:rPr>
      </w:pPr>
    </w:p>
    <w:p w:rsidR="00251915" w:rsidRDefault="000D4348" w:rsidP="000D4348">
      <w:pPr>
        <w:spacing w:after="160" w:line="256" w:lineRule="auto"/>
        <w:jc w:val="both"/>
        <w:rPr>
          <w:rFonts w:eastAsia="Century Gothic"/>
          <w:lang w:val="fr-CA"/>
        </w:rPr>
      </w:pPr>
      <w:r w:rsidRPr="00C73702">
        <w:rPr>
          <w:rFonts w:eastAsia="Century Gothic"/>
          <w:b/>
          <w:lang w:val="fr-CA"/>
        </w:rPr>
        <w:t xml:space="preserve">Suivi : </w:t>
      </w:r>
      <w:r w:rsidRPr="00C73702">
        <w:rPr>
          <w:rFonts w:eastAsia="Century Gothic"/>
          <w:lang w:val="fr-CA"/>
        </w:rPr>
        <w:t>Efficacité du traitement anti-</w:t>
      </w:r>
      <w:r w:rsidR="0002105B">
        <w:rPr>
          <w:rFonts w:eastAsia="Century Gothic"/>
          <w:lang w:val="fr-CA"/>
        </w:rPr>
        <w:t>VHC</w:t>
      </w:r>
      <w:bookmarkStart w:id="1" w:name="_GoBack"/>
      <w:bookmarkEnd w:id="1"/>
      <w:r w:rsidRPr="00C73702">
        <w:rPr>
          <w:rFonts w:eastAsia="Century Gothic"/>
          <w:lang w:val="fr-CA"/>
        </w:rPr>
        <w:t>.</w:t>
      </w:r>
    </w:p>
    <w:p w:rsidR="00251915" w:rsidRDefault="00251915" w:rsidP="00251915">
      <w:pPr>
        <w:rPr>
          <w:rFonts w:eastAsia="Century Gothic"/>
          <w:lang w:val="fr-CA"/>
        </w:rPr>
      </w:pPr>
    </w:p>
    <w:p w:rsidR="00173AEA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0D4348" w:rsidRPr="00251915" w:rsidRDefault="000D4348" w:rsidP="00251915">
      <w:pPr>
        <w:rPr>
          <w:rFonts w:eastAsia="Century Gothic"/>
          <w:lang w:val="fr-CA"/>
        </w:rPr>
      </w:pP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EE" w:rsidRDefault="00FC55EE" w:rsidP="00CD5A4A">
      <w:r>
        <w:separator/>
      </w:r>
    </w:p>
  </w:endnote>
  <w:endnote w:type="continuationSeparator" w:id="0">
    <w:p w:rsidR="00FC55EE" w:rsidRDefault="00FC55EE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02105B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EE" w:rsidRDefault="00FC55EE" w:rsidP="00CD5A4A">
      <w:r>
        <w:separator/>
      </w:r>
    </w:p>
  </w:footnote>
  <w:footnote w:type="continuationSeparator" w:id="0">
    <w:p w:rsidR="00FC55EE" w:rsidRDefault="00FC55EE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C55E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C55EE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2105B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C1844"/>
    <w:rsid w:val="000D4348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F4EC4"/>
    <w:rsid w:val="00200B48"/>
    <w:rsid w:val="002128AF"/>
    <w:rsid w:val="002264DF"/>
    <w:rsid w:val="00251915"/>
    <w:rsid w:val="00261691"/>
    <w:rsid w:val="002A602E"/>
    <w:rsid w:val="002A76EB"/>
    <w:rsid w:val="002B66D9"/>
    <w:rsid w:val="002B671D"/>
    <w:rsid w:val="002D3883"/>
    <w:rsid w:val="002E51C3"/>
    <w:rsid w:val="002F6838"/>
    <w:rsid w:val="0030271F"/>
    <w:rsid w:val="00310298"/>
    <w:rsid w:val="003413ED"/>
    <w:rsid w:val="0036414F"/>
    <w:rsid w:val="00385217"/>
    <w:rsid w:val="0039680A"/>
    <w:rsid w:val="003A2EBB"/>
    <w:rsid w:val="003C6E8F"/>
    <w:rsid w:val="003D7BCD"/>
    <w:rsid w:val="00401C9F"/>
    <w:rsid w:val="004066E9"/>
    <w:rsid w:val="00427BE2"/>
    <w:rsid w:val="00442536"/>
    <w:rsid w:val="0044508D"/>
    <w:rsid w:val="00446286"/>
    <w:rsid w:val="00467422"/>
    <w:rsid w:val="00497C72"/>
    <w:rsid w:val="00533604"/>
    <w:rsid w:val="00547DB4"/>
    <w:rsid w:val="005733C2"/>
    <w:rsid w:val="00593175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2109"/>
    <w:rsid w:val="006644BE"/>
    <w:rsid w:val="00677AB8"/>
    <w:rsid w:val="006A74B9"/>
    <w:rsid w:val="006B2F22"/>
    <w:rsid w:val="006C6371"/>
    <w:rsid w:val="006E19AB"/>
    <w:rsid w:val="006E1A02"/>
    <w:rsid w:val="006F222B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64DD8"/>
    <w:rsid w:val="00777EBA"/>
    <w:rsid w:val="007966D6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8E2D85"/>
    <w:rsid w:val="00917F91"/>
    <w:rsid w:val="00922813"/>
    <w:rsid w:val="0092554F"/>
    <w:rsid w:val="00937E39"/>
    <w:rsid w:val="009612DA"/>
    <w:rsid w:val="00961E4E"/>
    <w:rsid w:val="00973CB7"/>
    <w:rsid w:val="0097413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CF745C"/>
    <w:rsid w:val="00D05073"/>
    <w:rsid w:val="00D213AD"/>
    <w:rsid w:val="00D809DD"/>
    <w:rsid w:val="00D86D63"/>
    <w:rsid w:val="00DC7986"/>
    <w:rsid w:val="00E01BA6"/>
    <w:rsid w:val="00E05B46"/>
    <w:rsid w:val="00E20E8A"/>
    <w:rsid w:val="00E417B9"/>
    <w:rsid w:val="00E45C0C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55EE"/>
    <w:rsid w:val="00FC6F02"/>
    <w:rsid w:val="00FD079F"/>
    <w:rsid w:val="00FD3CE4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F012-DD3B-46E2-9E5E-9A58375B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2064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2021-03-15T12:54:00Z</dcterms:created>
  <dcterms:modified xsi:type="dcterms:W3CDTF">2021-03-15T12:54:00Z</dcterms:modified>
</cp:coreProperties>
</file>