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B" w:rsidRDefault="00FB56B8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6850EB" w:rsidRDefault="006850EB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les antiplaquettaires et les antirétroviraux combinés </w:t>
      </w:r>
    </w:p>
    <w:p w:rsidR="006850EB" w:rsidRDefault="00FB56B8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au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ou au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</w:p>
    <w:p w:rsidR="006850EB" w:rsidRDefault="006850EB">
      <w:pPr>
        <w:jc w:val="center"/>
        <w:rPr>
          <w:rFonts w:ascii="Century Gothic" w:eastAsia="Century Gothic" w:hAnsi="Century Gothic" w:cs="Century Gothic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</w:t>
      </w:r>
    </w:p>
    <w:p w:rsidR="006850EB" w:rsidRDefault="00FB56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Ticagr</w:t>
      </w: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Brilinta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6850EB" w:rsidRDefault="002B17D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 w:rsidR="00FB56B8">
        <w:rPr>
          <w:rFonts w:ascii="Century Gothic" w:eastAsia="Century Gothic" w:hAnsi="Century Gothic" w:cs="Century Gothic"/>
          <w:sz w:val="22"/>
          <w:szCs w:val="22"/>
        </w:rPr>
        <w:t xml:space="preserve">(Plavix) </w:t>
      </w:r>
      <w:r w:rsidR="00FB56B8">
        <w:rPr>
          <w:rFonts w:ascii="Century Gothic" w:eastAsia="Century Gothic" w:hAnsi="Century Gothic" w:cs="Century Gothic"/>
          <w:sz w:val="22"/>
          <w:szCs w:val="22"/>
        </w:rPr>
        <w:br/>
        <w:t>Et</w:t>
      </w: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Cobicistat</w:t>
      </w:r>
      <w:proofErr w:type="spellEnd"/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FB56B8">
      <w:pPr>
        <w:ind w:left="36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Ritonavir</w:t>
      </w:r>
      <w:proofErr w:type="spellEnd"/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FB56B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B17D8" w:rsidRPr="002B17D8" w:rsidRDefault="002B17D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 w:rsidRPr="002B17D8">
        <w:rPr>
          <w:rFonts w:ascii="Century Gothic" w:eastAsia="Century Gothic" w:hAnsi="Century Gothic" w:cs="Century Gothic"/>
          <w:b/>
          <w:sz w:val="22"/>
          <w:szCs w:val="22"/>
        </w:rPr>
        <w:t>Ticagr</w:t>
      </w:r>
      <w:r w:rsidR="00DB08D1">
        <w:rPr>
          <w:rFonts w:ascii="Century Gothic" w:eastAsia="Century Gothic" w:hAnsi="Century Gothic" w:cs="Century Gothic"/>
          <w:b/>
          <w:sz w:val="22"/>
          <w:szCs w:val="22"/>
        </w:rPr>
        <w:t>é</w:t>
      </w:r>
      <w:r w:rsidRPr="002B17D8">
        <w:rPr>
          <w:rFonts w:ascii="Century Gothic" w:eastAsia="Century Gothic" w:hAnsi="Century Gothic" w:cs="Century Gothic"/>
          <w:b/>
          <w:sz w:val="22"/>
          <w:szCs w:val="22"/>
        </w:rPr>
        <w:t>lor</w:t>
      </w:r>
      <w:proofErr w:type="spellEnd"/>
    </w:p>
    <w:p w:rsidR="006850EB" w:rsidRDefault="00FB56B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augmentation du risque d’effets indésirables peut survenir lors de l’administration concomitante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ticagrélor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avec un antirétroviral nommé ci-haut. Voici pourquoi 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1-3,9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</w:t>
      </w:r>
    </w:p>
    <w:p w:rsidR="006850EB" w:rsidRDefault="00FB5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sont des inhibiteurs du cytochrome (CYP) 3A4 et </w:t>
      </w:r>
      <w:r>
        <w:rPr>
          <w:rFonts w:ascii="Century Gothic" w:eastAsia="Century Gothic" w:hAnsi="Century Gothic" w:cs="Century Gothic"/>
          <w:sz w:val="22"/>
          <w:szCs w:val="22"/>
        </w:rPr>
        <w:t>du transporteur P-glycoprotéine (P-gp).</w:t>
      </w:r>
    </w:p>
    <w:p w:rsidR="006850EB" w:rsidRDefault="00FB56B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ticagr</w:t>
      </w:r>
      <w:r w:rsidR="00DB08D1"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est un substrat de ce CYP et de ce transporteur. Au CYP 3A4, </w:t>
      </w:r>
      <w:r>
        <w:rPr>
          <w:rFonts w:ascii="Century Gothic" w:eastAsia="Century Gothic" w:hAnsi="Century Gothic" w:cs="Century Gothic"/>
          <w:sz w:val="22"/>
          <w:szCs w:val="22"/>
        </w:rPr>
        <w:t>cet antiplaquettaire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est transformé en un métabolite actif qui aurait la même efficacité que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ticagr</w:t>
      </w: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6850EB" w:rsidRDefault="00FB56B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Cette inhibition risque d’accroître la concentration plasmatique de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ticagr</w:t>
      </w: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le risque d’effets indésirables.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2B17D8" w:rsidRPr="002B17D8" w:rsidRDefault="002B17D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2B17D8" w:rsidRPr="002B17D8" w:rsidRDefault="002B17D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 w:rsidRPr="002B17D8">
        <w:rPr>
          <w:rFonts w:ascii="Century Gothic" w:eastAsia="Century Gothic" w:hAnsi="Century Gothic" w:cs="Century Gothic"/>
          <w:b/>
          <w:sz w:val="22"/>
          <w:szCs w:val="22"/>
        </w:rPr>
        <w:t>Clopidogrel</w:t>
      </w:r>
      <w:proofErr w:type="spellEnd"/>
    </w:p>
    <w:p w:rsidR="006850EB" w:rsidRDefault="00FB56B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diminution de l’efficacité peut survenir lors de l’administration concomitante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avec un antirétroviral nommé ci-haut. Voici pourquoi 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4,9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</w:t>
      </w:r>
    </w:p>
    <w:p w:rsidR="006850EB" w:rsidRDefault="00FB56B8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sont des inhibiteurs du cytochrome (CYP) 3A4.</w:t>
      </w:r>
    </w:p>
    <w:p w:rsidR="006850EB" w:rsidRDefault="00FB56B8">
      <w:pPr>
        <w:widowControl w:val="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un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promédicament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est converti en métabolite actif via les CYP 3A4, 2B6, 2C19 et 1A2.</w:t>
      </w:r>
    </w:p>
    <w:p w:rsidR="006850EB" w:rsidRPr="002B17D8" w:rsidRDefault="00FB56B8">
      <w:pPr>
        <w:widowControl w:val="0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Cette inhibition risque de diminuer la formation du métabolite actif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diminuer son efficacité. </w:t>
      </w:r>
    </w:p>
    <w:p w:rsidR="002B17D8" w:rsidRDefault="002B17D8" w:rsidP="002B17D8">
      <w:pPr>
        <w:widowControl w:val="0"/>
        <w:ind w:left="1440"/>
        <w:jc w:val="both"/>
        <w:rPr>
          <w:sz w:val="22"/>
          <w:szCs w:val="22"/>
        </w:rPr>
      </w:pPr>
    </w:p>
    <w:p w:rsidR="006850EB" w:rsidRDefault="006850EB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B17D8" w:rsidRDefault="002B17D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B17D8" w:rsidRDefault="002B17D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B17D8" w:rsidRDefault="002B17D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B17D8" w:rsidRDefault="002B17D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Pour de plus amples informations, voici des études évaluant les interactions ci-haut :</w:t>
      </w:r>
    </w:p>
    <w:p w:rsidR="006850EB" w:rsidRDefault="006850EB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CE5CD"/>
        </w:rPr>
      </w:pPr>
      <w:bookmarkStart w:id="0" w:name="_pilibn8dxl8o" w:colFirst="0" w:colLast="0"/>
      <w:bookmarkEnd w:id="0"/>
    </w:p>
    <w:p w:rsidR="006850EB" w:rsidRPr="002B17D8" w:rsidRDefault="00FB56B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1" w:name="_gjdgxs" w:colFirst="0" w:colLast="0"/>
      <w:bookmarkEnd w:id="1"/>
      <w:proofErr w:type="spellStart"/>
      <w:r w:rsidRPr="002B17D8">
        <w:rPr>
          <w:rFonts w:ascii="Century Gothic" w:eastAsia="Century Gothic" w:hAnsi="Century Gothic" w:cs="Century Gothic"/>
          <w:b/>
          <w:sz w:val="22"/>
          <w:szCs w:val="22"/>
        </w:rPr>
        <w:t>Ticagrélor</w:t>
      </w:r>
      <w:proofErr w:type="spellEnd"/>
      <w:r w:rsidRPr="002B17D8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="002B17D8" w:rsidRPr="002B17D8">
        <w:rPr>
          <w:rFonts w:ascii="Century Gothic" w:eastAsia="Century Gothic" w:hAnsi="Century Gothic" w:cs="Century Gothic"/>
          <w:b/>
          <w:sz w:val="22"/>
          <w:szCs w:val="22"/>
        </w:rPr>
        <w:t>(</w:t>
      </w:r>
      <w:proofErr w:type="spellStart"/>
      <w:r w:rsidR="002B17D8" w:rsidRPr="002B17D8">
        <w:rPr>
          <w:rFonts w:ascii="Century Gothic" w:eastAsia="Century Gothic" w:hAnsi="Century Gothic" w:cs="Century Gothic"/>
          <w:b/>
          <w:sz w:val="22"/>
          <w:szCs w:val="22"/>
        </w:rPr>
        <w:t>Brilinta</w:t>
      </w:r>
      <w:proofErr w:type="spellEnd"/>
      <w:r w:rsidR="002B17D8" w:rsidRPr="002B17D8"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Ticagrélor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kétoconazole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(puissant inhibiteur du CYP 3A4) :</w:t>
      </w:r>
    </w:p>
    <w:p w:rsidR="006850EB" w:rsidRDefault="00FB56B8">
      <w:pPr>
        <w:widowControl w:val="0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↑ 7,3 fois la surface sous la courbe (SSC)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ticagrélor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↓ de 56% la SSC du métabolite actif.</w:t>
      </w:r>
      <w:r w:rsidR="00DB08D1"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  <w:proofErr w:type="gramStart"/>
      <w:r w:rsidR="00DB08D1">
        <w:rPr>
          <w:rFonts w:ascii="Century Gothic" w:eastAsia="Century Gothic" w:hAnsi="Century Gothic" w:cs="Century Gothic"/>
          <w:sz w:val="22"/>
          <w:szCs w:val="22"/>
          <w:vertAlign w:val="superscript"/>
        </w:rPr>
        <w:t>,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3,9</w:t>
      </w:r>
      <w:proofErr w:type="gramEnd"/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monographie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ticagrélor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spécifie que son association avec un inhibiteur puissant du CYP 3A4 est contre-indiquée.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</w:t>
      </w:r>
    </w:p>
    <w:p w:rsidR="006850EB" w:rsidRDefault="006850EB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6850EB" w:rsidRPr="00DB08D1" w:rsidRDefault="00FB56B8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proofErr w:type="spellStart"/>
      <w:r w:rsidRPr="00DB08D1">
        <w:rPr>
          <w:rFonts w:ascii="Century Gothic" w:eastAsia="Century Gothic" w:hAnsi="Century Gothic" w:cs="Century Gothic"/>
          <w:b/>
          <w:sz w:val="22"/>
          <w:szCs w:val="22"/>
        </w:rPr>
        <w:t>Clopidogrel</w:t>
      </w:r>
      <w:proofErr w:type="spellEnd"/>
      <w:r w:rsidR="002B17D8" w:rsidRPr="00DB08D1">
        <w:rPr>
          <w:rFonts w:ascii="Century Gothic" w:eastAsia="Century Gothic" w:hAnsi="Century Gothic" w:cs="Century Gothic"/>
          <w:b/>
          <w:sz w:val="22"/>
          <w:szCs w:val="22"/>
        </w:rPr>
        <w:t xml:space="preserve"> (Plavix)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patients séropositifs :</w:t>
      </w:r>
    </w:p>
    <w:p w:rsidR="006850EB" w:rsidRDefault="00FB56B8">
      <w:pPr>
        <w:widowControl w:val="0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↓ 69% de la SSC et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Cmax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du métabolite actif du clopidogrel.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proofErr w:type="gramStart"/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,13</w:t>
      </w:r>
      <w:proofErr w:type="gramEnd"/>
    </w:p>
    <w:p w:rsidR="006850EB" w:rsidRPr="00FB56B8" w:rsidRDefault="00FB56B8">
      <w:pPr>
        <w:widowControl w:val="0"/>
        <w:numPr>
          <w:ilvl w:val="1"/>
          <w:numId w:val="3"/>
        </w:num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B56B8">
        <w:rPr>
          <w:rFonts w:ascii="Century Gothic" w:eastAsia="Century Gothic" w:hAnsi="Century Gothic" w:cs="Century Gothic"/>
          <w:b/>
          <w:sz w:val="22"/>
          <w:szCs w:val="22"/>
        </w:rPr>
        <w:t>Inhibition plaquettaire insuffisante chez 44% des patients.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chez patients sains :</w:t>
      </w:r>
    </w:p>
    <w:p w:rsidR="006850EB" w:rsidRDefault="00FB56B8">
      <w:pPr>
        <w:widowControl w:val="0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↓ 52% de la SSC et ↓ 49%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Cmax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du métabolite actif du clopidogrel.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proofErr w:type="gramStart"/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,13</w:t>
      </w:r>
      <w:proofErr w:type="gramEnd"/>
    </w:p>
    <w:p w:rsidR="006850EB" w:rsidRPr="00FB56B8" w:rsidRDefault="00FB56B8">
      <w:pPr>
        <w:widowControl w:val="0"/>
        <w:numPr>
          <w:ilvl w:val="1"/>
          <w:numId w:val="3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B56B8">
        <w:rPr>
          <w:rFonts w:ascii="Century Gothic" w:eastAsia="Century Gothic" w:hAnsi="Century Gothic" w:cs="Century Gothic"/>
          <w:sz w:val="22"/>
          <w:szCs w:val="22"/>
        </w:rPr>
        <w:t>↓ 30% de l’inhibition plaquettaire moyenne.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Rapport de cas d'un patient de 45 ans séropositif et traité avec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démontrant une diminution de l’efficacité clinique du clopidogrel.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8</w:t>
      </w:r>
      <w:proofErr w:type="gramStart"/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,13</w:t>
      </w:r>
      <w:proofErr w:type="gramEnd"/>
    </w:p>
    <w:p w:rsidR="006850EB" w:rsidRDefault="006850EB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Pr="00DB08D1" w:rsidRDefault="00FB56B8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</w:pPr>
      <w:proofErr w:type="spellStart"/>
      <w:r w:rsidRPr="00DB08D1">
        <w:rPr>
          <w:rFonts w:ascii="Century Gothic" w:eastAsia="Century Gothic" w:hAnsi="Century Gothic" w:cs="Century Gothic"/>
          <w:b/>
          <w:sz w:val="22"/>
          <w:szCs w:val="22"/>
        </w:rPr>
        <w:t>Prasugrel</w:t>
      </w:r>
      <w:proofErr w:type="spellEnd"/>
      <w:r w:rsidR="002B17D8" w:rsidRPr="00DB08D1"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 w:rsidR="002B17D8" w:rsidRPr="00DB08D1">
        <w:rPr>
          <w:rFonts w:ascii="Century Gothic" w:eastAsia="Century Gothic" w:hAnsi="Century Gothic" w:cs="Century Gothic"/>
          <w:b/>
          <w:sz w:val="22"/>
          <w:szCs w:val="22"/>
        </w:rPr>
        <w:t>Effient</w:t>
      </w:r>
      <w:proofErr w:type="spellEnd"/>
      <w:r w:rsidR="002B17D8" w:rsidRPr="00DB08D1"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6850EB" w:rsidRDefault="00FB56B8">
      <w:pPr>
        <w:widowControl w:val="0"/>
        <w:rPr>
          <w:rFonts w:ascii="Century Gothic" w:eastAsia="Century Gothic" w:hAnsi="Century Gothic" w:cs="Century Gothic"/>
          <w:sz w:val="22"/>
          <w:szCs w:val="22"/>
          <w:shd w:val="clear" w:color="auto" w:fill="FCE5CD"/>
          <w:vertAlign w:val="superscript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un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promédicament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principalement transformé en métabolite actif via le CYP 3A4 et le 2B6. Une inhibition du CYP 3A4 peut empêcher l’activation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promédicament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ainsi diminuer son efficacité.</w:t>
      </w:r>
    </w:p>
    <w:p w:rsidR="006850EB" w:rsidRDefault="00FB56B8">
      <w:pPr>
        <w:widowControl w:val="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Cependant les études pharmacocinétiques in vitro et chez des volontaires sains et séropositifs ne semblent pas démontrer d’impact cliniquement significatif lors de l’utilisation d’un inhibiteur du CYP 3A4 avec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patients séropositifs :</w:t>
      </w:r>
    </w:p>
    <w:p w:rsidR="006850EB" w:rsidRDefault="00FB56B8">
      <w:pPr>
        <w:widowControl w:val="0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↓ 52% de la SSC et ↓ 41%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Cmax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du métabolite actif du </w:t>
      </w:r>
      <w:r w:rsidR="00E50635">
        <w:rPr>
          <w:rFonts w:ascii="Century Gothic" w:eastAsia="Century Gothic" w:hAnsi="Century Gothic" w:cs="Century Gothic"/>
          <w:sz w:val="22"/>
          <w:szCs w:val="22"/>
        </w:rPr>
        <w:t>prasu</w:t>
      </w:r>
      <w:r>
        <w:rPr>
          <w:rFonts w:ascii="Century Gothic" w:eastAsia="Century Gothic" w:hAnsi="Century Gothic" w:cs="Century Gothic"/>
          <w:sz w:val="22"/>
          <w:szCs w:val="22"/>
        </w:rPr>
        <w:t>grel.</w:t>
      </w:r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proofErr w:type="gramStart"/>
      <w:r w:rsidR="00503E6B">
        <w:rPr>
          <w:rFonts w:ascii="Century Gothic" w:eastAsia="Century Gothic" w:hAnsi="Century Gothic" w:cs="Century Gothic"/>
          <w:sz w:val="22"/>
          <w:szCs w:val="22"/>
          <w:vertAlign w:val="superscript"/>
        </w:rPr>
        <w:t>,13</w:t>
      </w:r>
      <w:proofErr w:type="gramEnd"/>
    </w:p>
    <w:p w:rsidR="006850EB" w:rsidRPr="00FB56B8" w:rsidRDefault="00670AD3">
      <w:pPr>
        <w:widowControl w:val="0"/>
        <w:numPr>
          <w:ilvl w:val="1"/>
          <w:numId w:val="3"/>
        </w:num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B56B8">
        <w:rPr>
          <w:rFonts w:ascii="Century Gothic" w:eastAsia="Century Gothic" w:hAnsi="Century Gothic" w:cs="Century Gothic"/>
          <w:b/>
          <w:sz w:val="22"/>
          <w:szCs w:val="22"/>
        </w:rPr>
        <w:t xml:space="preserve">Pas d’impact sur l’agrégation </w:t>
      </w:r>
      <w:r w:rsidR="00FB56B8" w:rsidRPr="00FB56B8">
        <w:rPr>
          <w:rFonts w:ascii="Century Gothic" w:eastAsia="Century Gothic" w:hAnsi="Century Gothic" w:cs="Century Gothic"/>
          <w:b/>
          <w:sz w:val="22"/>
          <w:szCs w:val="22"/>
        </w:rPr>
        <w:t>plaquettaire chez tous les patients.</w:t>
      </w:r>
    </w:p>
    <w:p w:rsidR="006850EB" w:rsidRDefault="00FB56B8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monographie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rapporte l’absence d’interaction significative avec les inhibiteurs du CYP 3A4.</w:t>
      </w:r>
      <w:r w:rsidR="00CE0E88">
        <w:rPr>
          <w:rFonts w:ascii="Century Gothic" w:eastAsia="Century Gothic" w:hAnsi="Century Gothic" w:cs="Century Gothic"/>
          <w:sz w:val="22"/>
          <w:szCs w:val="22"/>
          <w:vertAlign w:val="superscript"/>
        </w:rPr>
        <w:t>5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</w:p>
    <w:p w:rsidR="00C5369A" w:rsidRDefault="00CE0E8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(Plavix)</w:t>
      </w:r>
      <w:r w:rsidR="00C5369A">
        <w:rPr>
          <w:rFonts w:ascii="Century Gothic" w:eastAsia="Century Gothic" w:hAnsi="Century Gothic" w:cs="Century Gothic"/>
          <w:b/>
          <w:sz w:val="22"/>
          <w:szCs w:val="22"/>
        </w:rPr>
        <w:t xml:space="preserve"> vs </w:t>
      </w:r>
      <w:proofErr w:type="spellStart"/>
      <w:r w:rsidR="00C5369A">
        <w:rPr>
          <w:rFonts w:ascii="Century Gothic" w:eastAsia="Century Gothic" w:hAnsi="Century Gothic" w:cs="Century Gothic"/>
          <w:b/>
          <w:sz w:val="22"/>
          <w:szCs w:val="22"/>
        </w:rPr>
        <w:t>prasugrel</w:t>
      </w:r>
      <w:proofErr w:type="spellEnd"/>
      <w:r w:rsidR="00C5369A"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 w:rsidR="00C5369A">
        <w:rPr>
          <w:rFonts w:ascii="Century Gothic" w:eastAsia="Century Gothic" w:hAnsi="Century Gothic" w:cs="Century Gothic"/>
          <w:b/>
          <w:sz w:val="22"/>
          <w:szCs w:val="22"/>
        </w:rPr>
        <w:t>Effient</w:t>
      </w:r>
      <w:proofErr w:type="spellEnd"/>
      <w:r w:rsidR="00C5369A"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</w:p>
    <w:p w:rsidR="00DB08D1" w:rsidRPr="00DB08D1" w:rsidRDefault="00DB08D1" w:rsidP="00DB08D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Des études pharmacocinétiques avec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 ou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 (ci-haut) montrent un impact sur la formation des métabolites actifs du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 et du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. Par contre, une diminution de l’inhibition de  l’agrégation plaquettaire est vue  seulement avec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clopidogrel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DB08D1" w:rsidRPr="00DB08D1" w:rsidRDefault="00DB08D1" w:rsidP="00DB08D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DB08D1" w:rsidRDefault="00DB08D1" w:rsidP="00DB08D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Les auteurs concluent que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 serait  l’agent antiplaquettaire le plus approprié chez le patient sous thérapie antirétrovirale avec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 xml:space="preserve"> ou le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2B17D8" w:rsidRDefault="002B17D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2B17D8" w:rsidRDefault="002B17D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2B17D8" w:rsidRDefault="002B17D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5369A" w:rsidRDefault="00C5369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5369A" w:rsidRDefault="00C5369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5369A" w:rsidRDefault="00C5369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E0E88" w:rsidRDefault="00CE0E8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E0E88" w:rsidRDefault="00CE0E8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Options thérapeutiques possibles :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  <w:shd w:val="clear" w:color="auto" w:fill="FCE5CD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i/>
          <w:sz w:val="22"/>
          <w:szCs w:val="22"/>
        </w:rPr>
        <w:t>Ticagrélor</w:t>
      </w:r>
      <w:proofErr w:type="spellEnd"/>
    </w:p>
    <w:p w:rsidR="006850EB" w:rsidRDefault="00FB56B8" w:rsidP="00E50635">
      <w:pPr>
        <w:ind w:left="284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*</w:t>
      </w:r>
      <w:r w:rsidR="00E5063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Ticagrélor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contre-indiqué avec les inhibiteurs du CYP 3A4</w:t>
      </w:r>
      <w:r w:rsidR="00E5063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*</w:t>
      </w: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Solution de rechange : </w:t>
      </w:r>
    </w:p>
    <w:p w:rsidR="006850EB" w:rsidRPr="00DB08D1" w:rsidRDefault="00FB56B8" w:rsidP="00DB08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(Efficient)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i/>
          <w:sz w:val="22"/>
          <w:szCs w:val="22"/>
        </w:rPr>
        <w:t>Clopidogrel</w:t>
      </w:r>
      <w:proofErr w:type="spellEnd"/>
    </w:p>
    <w:p w:rsidR="006850EB" w:rsidRDefault="00FB56B8" w:rsidP="00E50635">
      <w:pPr>
        <w:ind w:left="284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Utiliser avec prudence </w:t>
      </w:r>
      <w:r w:rsidR="00E50635">
        <w:rPr>
          <w:rFonts w:ascii="Century Gothic" w:eastAsia="Century Gothic" w:hAnsi="Century Gothic" w:cs="Century Gothic"/>
          <w:sz w:val="22"/>
          <w:szCs w:val="22"/>
        </w:rPr>
        <w:t xml:space="preserve">car on peut </w:t>
      </w:r>
      <w:r w:rsidR="007D553C">
        <w:rPr>
          <w:rFonts w:ascii="Century Gothic" w:eastAsia="Century Gothic" w:hAnsi="Century Gothic" w:cs="Century Gothic"/>
          <w:sz w:val="22"/>
          <w:szCs w:val="22"/>
        </w:rPr>
        <w:t xml:space="preserve">observer une perte d’efficacité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ou </w:t>
      </w:r>
      <w:r w:rsidR="00C5369A">
        <w:rPr>
          <w:rFonts w:ascii="Century Gothic" w:eastAsia="Century Gothic" w:hAnsi="Century Gothic" w:cs="Century Gothic"/>
          <w:sz w:val="22"/>
          <w:szCs w:val="22"/>
        </w:rPr>
        <w:t>choisir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une solution de rechange.</w:t>
      </w: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Solution de rechange : </w:t>
      </w:r>
    </w:p>
    <w:p w:rsidR="006850EB" w:rsidRDefault="00FB56B8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(Efficient)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Suivi : </w:t>
      </w:r>
    </w:p>
    <w:p w:rsidR="006850EB" w:rsidRDefault="00FB5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l’efficacité des antiplaquettaires (signes et symptômes d’événements coronariens).</w:t>
      </w:r>
    </w:p>
    <w:p w:rsidR="006850EB" w:rsidRDefault="00FB5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les effets indésirables des antiplaquettaires.</w:t>
      </w:r>
    </w:p>
    <w:p w:rsidR="006850EB" w:rsidRDefault="00FB5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Saignements : épistaxis, hémorragie digestive/cutanée, ecchymoses.</w:t>
      </w:r>
    </w:p>
    <w:p w:rsidR="006850EB" w:rsidRDefault="00FB5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Dyspnée, céphalées, étourdissements, bradycardie.</w:t>
      </w:r>
    </w:p>
    <w:p w:rsidR="006850EB" w:rsidRDefault="00FB5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Effets gastro-intestinaux : nausées, vomissements, dyspepsie, diarrhée, constipation.</w:t>
      </w:r>
    </w:p>
    <w:p w:rsidR="006850EB" w:rsidRDefault="006850E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CE5CD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DB08D1" w:rsidRDefault="00DB08D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Suggestion de la pharmacie ou nouvelle prescription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6850EB">
        <w:tc>
          <w:tcPr>
            <w:tcW w:w="9396" w:type="dxa"/>
          </w:tcPr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 : _____________________________</w:t>
            </w:r>
          </w:p>
        </w:tc>
      </w:tr>
      <w:tr w:rsidR="006850EB">
        <w:tc>
          <w:tcPr>
            <w:tcW w:w="9396" w:type="dxa"/>
          </w:tcPr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6850E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6850EB" w:rsidRDefault="00FB56B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 : ________________</w:t>
            </w:r>
          </w:p>
        </w:tc>
      </w:tr>
    </w:tbl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6850EB" w:rsidRDefault="00FB56B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850EB" w:rsidRDefault="00FB56B8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6850EB" w:rsidRDefault="00FB56B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6850EB" w:rsidRDefault="006850E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50EB" w:rsidRPr="002B17D8" w:rsidRDefault="00FB5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</w:pPr>
      <w:proofErr w:type="spellStart"/>
      <w:proofErr w:type="gramStart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Monographie</w:t>
      </w:r>
      <w:proofErr w:type="spellEnd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:</w:t>
      </w:r>
      <w:proofErr w:type="gramEnd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</w:t>
      </w:r>
      <w:proofErr w:type="spellStart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Ticagrelor</w:t>
      </w:r>
      <w:proofErr w:type="spellEnd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(</w:t>
      </w:r>
      <w:proofErr w:type="spellStart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Brilinta</w:t>
      </w:r>
      <w:proofErr w:type="spellEnd"/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), AstraZeneca, Ontario, Canada, </w:t>
      </w:r>
      <w:r w:rsidR="0008580F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8 </w:t>
      </w:r>
      <w:proofErr w:type="spellStart"/>
      <w:r w:rsidR="0008580F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avril</w:t>
      </w:r>
      <w:proofErr w:type="spellEnd"/>
      <w:r w:rsidR="0008580F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2019</w:t>
      </w:r>
      <w:r w:rsidRPr="002B17D8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6850EB" w:rsidRPr="00DB08D1" w:rsidRDefault="00FB56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Egan G, Hughes CA, Ackman ML. Drug interactions between antiplatelet or novel anticoagulant medications and antiretroviral medications. </w:t>
      </w:r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Ann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Pharmacother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2014 June; 48 (6): 734-740. </w:t>
      </w:r>
    </w:p>
    <w:p w:rsidR="006850EB" w:rsidRDefault="00FB56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Teng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R, Butler K. Effect of the CYP3A inhibitors, diltiazem and ketoconazole, on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ticagrelor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pharmacokinetics in healthy volunteers.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Journal of Drug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Assessment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2013; 2: 30-9.</w:t>
      </w:r>
    </w:p>
    <w:p w:rsidR="006850EB" w:rsidRPr="00503E6B" w:rsidRDefault="00FB5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Clopidogrel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(Plavix), Sanofi-Aventis, Québec, Canada, </w:t>
      </w:r>
      <w:r w:rsidR="00FE682A">
        <w:rPr>
          <w:rFonts w:ascii="Century Gothic" w:eastAsia="Century Gothic" w:hAnsi="Century Gothic" w:cs="Century Gothic"/>
          <w:sz w:val="22"/>
          <w:szCs w:val="22"/>
        </w:rPr>
        <w:t>8 février 2019.</w:t>
      </w:r>
      <w:bookmarkStart w:id="2" w:name="_GoBack"/>
      <w:bookmarkEnd w:id="2"/>
    </w:p>
    <w:p w:rsidR="00503E6B" w:rsidRDefault="00503E6B" w:rsidP="00503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Prasugrel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Effient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), Eli Lilly Canada Inc., Ontario, Canada, 17 juin 2014.</w:t>
      </w:r>
    </w:p>
    <w:p w:rsidR="006850EB" w:rsidRDefault="00FB5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Marsousi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N,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Daali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Y, Fontana P,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Reny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JL,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Ancrenaz-Sirot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V et al. </w:t>
      </w:r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Impact of boosted antiretroviral therapy on the pharmacokinetics and efficacy of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clopidogrel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and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prasugrel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active metabolites.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Clin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Pharmacokinet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2018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Oct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; 57(10): 1347-1354.</w:t>
      </w:r>
    </w:p>
    <w:p w:rsidR="006850EB" w:rsidRPr="00DB08D1" w:rsidRDefault="00FB5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Itkonen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MK, Tornio A,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Lapatto-Reiniluoto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O,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Neuvonen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M,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Neuvonen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PJ et al.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Clopidogrel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increases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dasabuvir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exposure with or without ritonavir, and ritonavir inhibits the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bioactivation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of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clopidogrel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.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Clin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Pharmacol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Ther</w:t>
      </w:r>
      <w:proofErr w:type="spellEnd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2018 Apr 26. </w:t>
      </w:r>
      <w:proofErr w:type="spellStart"/>
      <w:proofErr w:type="gramStart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doi</w:t>
      </w:r>
      <w:proofErr w:type="spellEnd"/>
      <w:proofErr w:type="gramEnd"/>
      <w:r w:rsidRPr="00DB08D1">
        <w:rPr>
          <w:rFonts w:ascii="Century Gothic" w:eastAsia="Century Gothic" w:hAnsi="Century Gothic" w:cs="Century Gothic"/>
          <w:sz w:val="22"/>
          <w:szCs w:val="22"/>
          <w:lang w:val="en-CA"/>
        </w:rPr>
        <w:t>: 10.1002/cpt.1099.</w:t>
      </w:r>
    </w:p>
    <w:p w:rsidR="00503E6B" w:rsidRPr="00503E6B" w:rsidRDefault="00503E6B" w:rsidP="00503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Bravo I, Alvarez H, Marino A, </w:t>
      </w:r>
      <w:proofErr w:type="spellStart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>Clotet</w:t>
      </w:r>
      <w:proofErr w:type="spellEnd"/>
      <w:r w:rsidRPr="002B17D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 B, Molto J. Recurrent coronary disease in HIV-infected patients: role of drug-drug interactions.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Br J Clin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Pharmacol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 2018 Jul;84(7):1617-1619.</w:t>
      </w:r>
    </w:p>
    <w:p w:rsidR="006850EB" w:rsidRDefault="00FB56B8" w:rsidP="00DB08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>http://www.guidetherapeutiquevih.com</w:t>
      </w:r>
    </w:p>
    <w:sectPr w:rsidR="006850EB">
      <w:footerReference w:type="default" r:id="rId8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98" w:rsidRDefault="00A64198">
      <w:r>
        <w:separator/>
      </w:r>
    </w:p>
  </w:endnote>
  <w:endnote w:type="continuationSeparator" w:id="0">
    <w:p w:rsidR="00A64198" w:rsidRDefault="00A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33" w:rsidRDefault="00A64198" w:rsidP="003A4433">
    <w:pPr>
      <w:tabs>
        <w:tab w:val="center" w:pos="4320"/>
        <w:tab w:val="right" w:pos="8640"/>
      </w:tabs>
    </w:pPr>
    <w:hyperlink r:id="rId1">
      <w:r w:rsidR="003A4433">
        <w:rPr>
          <w:color w:val="0563C1"/>
          <w:u w:val="single"/>
        </w:rPr>
        <w:t>www.guidetherapeutiquevih.com</w:t>
      </w:r>
    </w:hyperlink>
    <w:r w:rsidR="003A4433">
      <w:t xml:space="preserve">                                                                                 Avril 2019</w:t>
    </w:r>
  </w:p>
  <w:p w:rsidR="006850EB" w:rsidRDefault="006850EB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98" w:rsidRDefault="00A64198">
      <w:r>
        <w:separator/>
      </w:r>
    </w:p>
  </w:footnote>
  <w:footnote w:type="continuationSeparator" w:id="0">
    <w:p w:rsidR="00A64198" w:rsidRDefault="00A6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82"/>
    <w:multiLevelType w:val="multilevel"/>
    <w:tmpl w:val="B68A4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2022F1"/>
    <w:multiLevelType w:val="multilevel"/>
    <w:tmpl w:val="7188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5665B8"/>
    <w:multiLevelType w:val="multilevel"/>
    <w:tmpl w:val="01E638D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D96FD5"/>
    <w:multiLevelType w:val="multilevel"/>
    <w:tmpl w:val="090ECD2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767AE8"/>
    <w:multiLevelType w:val="multilevel"/>
    <w:tmpl w:val="E77AC75E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DB1EC7"/>
    <w:multiLevelType w:val="multilevel"/>
    <w:tmpl w:val="CB1A281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41F81"/>
    <w:multiLevelType w:val="multilevel"/>
    <w:tmpl w:val="C13499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EB"/>
    <w:rsid w:val="0008580F"/>
    <w:rsid w:val="002B17D8"/>
    <w:rsid w:val="003A4433"/>
    <w:rsid w:val="00503E6B"/>
    <w:rsid w:val="00670AD3"/>
    <w:rsid w:val="006850EB"/>
    <w:rsid w:val="007D553C"/>
    <w:rsid w:val="00855A39"/>
    <w:rsid w:val="008A629B"/>
    <w:rsid w:val="009D2B49"/>
    <w:rsid w:val="00A64198"/>
    <w:rsid w:val="00C5369A"/>
    <w:rsid w:val="00CE0E88"/>
    <w:rsid w:val="00DB08D1"/>
    <w:rsid w:val="00E50635"/>
    <w:rsid w:val="00FB56B8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17D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B17D8"/>
  </w:style>
  <w:style w:type="paragraph" w:styleId="Pieddepage">
    <w:name w:val="footer"/>
    <w:basedOn w:val="Normal"/>
    <w:link w:val="PieddepageCar"/>
    <w:uiPriority w:val="99"/>
    <w:unhideWhenUsed/>
    <w:rsid w:val="002B17D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7D8"/>
  </w:style>
  <w:style w:type="paragraph" w:styleId="Paragraphedeliste">
    <w:name w:val="List Paragraph"/>
    <w:basedOn w:val="Normal"/>
    <w:uiPriority w:val="34"/>
    <w:qFormat/>
    <w:rsid w:val="00E50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17D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B17D8"/>
  </w:style>
  <w:style w:type="paragraph" w:styleId="Pieddepage">
    <w:name w:val="footer"/>
    <w:basedOn w:val="Normal"/>
    <w:link w:val="PieddepageCar"/>
    <w:uiPriority w:val="99"/>
    <w:unhideWhenUsed/>
    <w:rsid w:val="002B17D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7D8"/>
  </w:style>
  <w:style w:type="paragraph" w:styleId="Paragraphedeliste">
    <w:name w:val="List Paragraph"/>
    <w:basedOn w:val="Normal"/>
    <w:uiPriority w:val="34"/>
    <w:qFormat/>
    <w:rsid w:val="00E50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Therrien Rachel</dc:creator>
  <cp:lastModifiedBy>Claude</cp:lastModifiedBy>
  <cp:revision>6</cp:revision>
  <dcterms:created xsi:type="dcterms:W3CDTF">2019-04-17T20:44:00Z</dcterms:created>
  <dcterms:modified xsi:type="dcterms:W3CDTF">2019-04-18T08:10:00Z</dcterms:modified>
</cp:coreProperties>
</file>