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Opinion pharmaceutique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la mirtazapine et les antirétroviraux combinés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au ritonavir ou au cobicistat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Mirtazapine (Remeron)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</w:t>
      </w:r>
    </w:p>
    <w:p w:rsidR="00000000" w:rsidDel="00000000" w:rsidP="00000000" w:rsidRDefault="00000000" w:rsidRPr="00000000" w14:paraId="0000000C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Cobicistat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Atazanavir/Cobicistat (Evotaz)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Darunavir/Cobicistat (Prezcobix)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Darunavir/Cobicistat/Emtricitabine/Ténofovir alafénamide (Symtuza)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lvitégravir/Cobicistat/Emtricitabine/Ténofovir (Stribild, Genvoya)</w:t>
      </w:r>
    </w:p>
    <w:p w:rsidR="00000000" w:rsidDel="00000000" w:rsidP="00000000" w:rsidRDefault="00000000" w:rsidRPr="00000000" w14:paraId="00000011">
      <w:pPr>
        <w:ind w:left="360"/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Ritonavir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Atazanavir/Ritonavir (Reyataz/Norvir)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Darunavir/Ritonavir (Prezista/Norvir)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Lopinavir/Ritonavir (Kaletra)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Une augmentation du risque d’effets indésirables de la mirtazapine peut survenir  lors de l’administration concomitante avec un antirétroviral nommé ci-haut. Voici pourquoi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1-4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cobicistat et le ritonavir sont des inhibiteurs des cytochromes (CYP) 3A4 et 2D6.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métabolisme de la mirtazapine implique ces cytochromes.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Cette inhibition peut augmenter la concentration plasmatique de la mirtazapine et le risque d’effets indésirables.</w:t>
      </w:r>
    </w:p>
    <w:p w:rsidR="00000000" w:rsidDel="00000000" w:rsidP="00000000" w:rsidRDefault="00000000" w:rsidRPr="00000000" w14:paraId="0000001A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Pour de plus amples informations voici des études évaluant le potentiel d’interaction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Mirtazapine + kétoconazole  (puissant inhibiteur du CYP 3A4)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1, 4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↑ de 50% la surface sous la courbe (SSC) de la  mirtazapine.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Parmi les 24 patients à l’étude, 2 patients auraient perdu conscience (1 syncope et 1 collapsus circulatoire).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Mirtazapine + paroxetine (puissant inhibiteur du CYP 2D6)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1, 4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↑ des concentrations plasmatiques de la mirtazapine et de son métabolite déméthylé d’environ 18 et 25%.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Mirtazapine + ritonavir (étude de modeling pharmacocinétique)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3, 4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↑ prévue de 52% de la SSC de la mirtazapine.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monographie de mirtazapine recommande d’être prudent lors de l’administration de la mirtazapine avec les inhibiteurs du CYP3A4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1,4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Options thérapeutiques possibles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Si la mirtazapine est ajoutée à une thérapie antirétrovirale déjà existante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Débuter la mirtazapine avec une petite dose puis augmenter graduellement la dose selon efficacité et tolérance.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Si le patient est déjà sous mirtazapine et que la thérapie antirétrovirale est débutée.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Diminuer la dose actuelle de la mirtazapine puis augmenter graduellement la dose selon efficacité et tolérance.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Patient actuellement sous traitement avec cette association et la tolérant.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Conserver  cette combinaison et exercer un suivi étroit des effets indésirables.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 ECG de contrôle peut également être faite chez des patients avec possibilité de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désordres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électrolytiques ou qui présentent d’autres facteurs de risque d’allongement de l’intervalle QTc. S’assurer de contrôler les désordres électrolytiques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Suivi :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Surveiller les  effets indésirables de la mirtazapine (sécheresse de la bouche, somnolence, augmentation de l’appétit, constipation, étourdissements).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ECG et électrolytes surtout pour les patients à risque d’allongement du QTc.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Suggestion de la pharmacie ou nouvelle prescription</w:t>
      </w:r>
    </w:p>
    <w:p w:rsidR="00000000" w:rsidDel="00000000" w:rsidP="00000000" w:rsidRDefault="00000000" w:rsidRPr="00000000" w14:paraId="0000003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3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3F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Téléphone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41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Renouvellements : _____</w:t>
            </w:r>
          </w:p>
          <w:p w:rsidR="00000000" w:rsidDel="00000000" w:rsidP="00000000" w:rsidRDefault="00000000" w:rsidRPr="00000000" w14:paraId="0000004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 Numéro de pratique : __________    Signature : __________</w:t>
            </w:r>
          </w:p>
          <w:p w:rsidR="00000000" w:rsidDel="00000000" w:rsidP="00000000" w:rsidRDefault="00000000" w:rsidRPr="00000000" w14:paraId="0000004A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4B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 : ____________________     #Télécopieur : ________________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5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5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5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5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5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 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5A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Références : </w:t>
      </w:r>
    </w:p>
    <w:p w:rsidR="00000000" w:rsidDel="00000000" w:rsidP="00000000" w:rsidRDefault="00000000" w:rsidRPr="00000000" w14:paraId="0000005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left="720" w:hanging="360"/>
        <w:contextualSpacing w:val="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Monographie : Mirtazapine (Remeron RD), Merck Canada, Québec, Canada, 12 juin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left="720" w:hanging="360"/>
        <w:contextualSpacing w:val="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 : Ritonavir (Norvir), Corporation AbbVie, Québec, Canada, 27 novembre 2017.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left="720" w:hanging="360"/>
        <w:contextualSpacing w:val="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Siccardi M, Marzolini C, Seden K et al. Prediction of drug-drug interactions between various antidepressants and efavirenz or boosted protease inhibitors using a physiologically based pharmacokinetic modeling approach. Clin Pharmacokit 2013;52;582-592.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left="720" w:hanging="360"/>
        <w:contextualSpacing w:val="0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Guide thérapeutique VIH. [En ligne]. Disponible : 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2"/>
          <w:szCs w:val="22"/>
          <w:rtl w:val="0"/>
        </w:rPr>
        <w:t xml:space="preserve">http://www.guidetherapeutiquevih.com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tabs>
          <w:tab w:val="left" w:pos="220"/>
          <w:tab w:val="left" w:pos="720"/>
        </w:tabs>
        <w:ind w:left="720"/>
        <w:contextualSpacing w:val="0"/>
        <w:jc w:val="both"/>
        <w:rPr>
          <w:rFonts w:ascii="Century Gothic" w:cs="Century Gothic" w:eastAsia="Century Gothic" w:hAnsi="Century Gothic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both"/>
        <w:rPr>
          <w:rFonts w:ascii="inherit" w:cs="inherit" w:eastAsia="inherit" w:hAnsi="inherit"/>
          <w:sz w:val="14"/>
          <w:szCs w:val="14"/>
        </w:rPr>
      </w:pPr>
      <w:r w:rsidDel="00000000" w:rsidR="00000000" w:rsidRPr="00000000">
        <w:rPr>
          <w:rFonts w:ascii="inherit" w:cs="inherit" w:eastAsia="inherit" w:hAnsi="inherit"/>
          <w:sz w:val="14"/>
          <w:szCs w:val="14"/>
          <w:rtl w:val="0"/>
        </w:rPr>
        <w:br w:type="textWrapping"/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428bca"/>
            <w:sz w:val="21"/>
            <w:szCs w:val="21"/>
            <w:highlight w:val="whit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>
          <w:rFonts w:ascii="inherit" w:cs="inherit" w:eastAsia="inherit" w:hAnsi="inherit"/>
          <w:sz w:val="14"/>
          <w:szCs w:val="1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inheri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tl w:val="0"/>
      </w:rPr>
      <w:t xml:space="preserve">                                                                                  Septembre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cs="Century Gothic" w:eastAsia="Century Gothic" w:hAnsi="Century Gothic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cbi.nlm.nih.gov/pubmed/24990596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