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les antimigraineux et les antirétroviraux combinés 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au ritonavir ou au cobicistat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Almotriptan (Axert)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Élétriptan (Relpax)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 </w:t>
      </w:r>
    </w:p>
    <w:p w:rsidR="00000000" w:rsidDel="00000000" w:rsidP="00000000" w:rsidRDefault="00000000" w:rsidRPr="00000000" w14:paraId="0000000D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Atazanavir/Cobicistat (Evotaz)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lvitégravir/Cobicistat/Emtricitabine/Ténofovir (Stribild, Genvoya)</w:t>
      </w:r>
    </w:p>
    <w:p w:rsidR="00000000" w:rsidDel="00000000" w:rsidP="00000000" w:rsidRDefault="00000000" w:rsidRPr="00000000" w14:paraId="00000012">
      <w:pPr>
        <w:ind w:left="36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Ritonavir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Lopinavir/Ritonavir (Kaletra)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du risque de toxicité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des antimigraineux peut survenir lors de l’administration concomitante avec un antirétroviral 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1-3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cobicistat et le ritonavir sont des inhibiteurs du cytochrome (CYP) 3A4.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L’almotriptan et l’élétriptan sont des substrats du CYP3A4.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inhibition peut accroître la concentration plasmatique de ces antimigraineux et leur risque de toxicité et d’effets indésirables. </w:t>
      </w:r>
    </w:p>
    <w:p w:rsidR="00000000" w:rsidDel="00000000" w:rsidP="00000000" w:rsidRDefault="00000000" w:rsidRPr="00000000" w14:paraId="0000001B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amples informations, voici des études évaluant les interactions ci-haut 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Almotriptan + kétoconazole (inhibiteur CYP 3A4) :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↑ d’environ 60% de la surface sous la courbe (SSC) de l’almotriptan.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1, 3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Élétriptan + kétoconazole (inhibiteur CYP 3A4) :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↑ 6 fois la SSC de l’élétriptan. La demi-vie est passée de 5 à 8 heures.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2, 3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Selon la monographie, l’élétriptan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 contre-indiqué dans les 72 heures suivant ou précédant la prise d’un inhibiteur puissant du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CYP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3A4.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2, 3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1-3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 : </w:t>
      </w:r>
    </w:p>
    <w:p w:rsidR="00000000" w:rsidDel="00000000" w:rsidP="00000000" w:rsidRDefault="00000000" w:rsidRPr="00000000" w14:paraId="00000026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motriptan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l’almotriptan est ajouté à une thérapie antirétrovirale déjà existante.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Débuter l’almotriptan avec une petite dose puis titrer la dose selon efficacité et la tolérance.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le patient est déjà sous l’almotriptan et que la thérapie antirétrovirale est débutée.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Diminuer la dose actuelle de l’almotriptan puis ajuster ensuite la dose selon efficacité et tolérance.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 patients actuellement sous traitement avec cette association et la tolérant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onserver leur thérapie avec un suivi des effets indésirables.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2"/>
          <w:szCs w:val="22"/>
          <w:rtl w:val="0"/>
        </w:rPr>
        <w:t xml:space="preserve">Élétriptan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08" w:firstLine="708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*Contre-indiqué dans les 72 heures suivant ou précédant la prise d’un inhibiteur puissant du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CYP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3A4*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olution de rechange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Frovatriptan (Frova)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Naratriptan (Amerge)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Rizatriptan (Maxalt)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Sumatriptan (Imitrex)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Zolmitriptan (Zomig)</w:t>
      </w:r>
    </w:p>
    <w:p w:rsidR="00000000" w:rsidDel="00000000" w:rsidP="00000000" w:rsidRDefault="00000000" w:rsidRPr="00000000" w14:paraId="00000039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Suivi :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Surveiller toxicité (serrement de la poitrine, hypertension, vasoconstriction, nausée, somnolence et syndrome sérotoninergique) des antimigraineux.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5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5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5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5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Téléphone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5C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 : _____</w:t>
            </w:r>
          </w:p>
          <w:p w:rsidR="00000000" w:rsidDel="00000000" w:rsidP="00000000" w:rsidRDefault="00000000" w:rsidRPr="00000000" w14:paraId="0000006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Licence : __________    Signature : __________</w:t>
            </w:r>
          </w:p>
          <w:p w:rsidR="00000000" w:rsidDel="00000000" w:rsidP="00000000" w:rsidRDefault="00000000" w:rsidRPr="00000000" w14:paraId="0000006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6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68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6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6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7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7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7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 : ____________________</w:t>
        <w:tab/>
        <w:t xml:space="preserve">#Télécopieur 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Références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Monographie : Almotriptan (Axert), Johnson &amp; Johnson Inc., Ontario, Canada, 06 novembre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Monographie : Eletriptan (Relpax), Pfizer Canada Inc., Québec, Canada, 26 novembre 2013.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9"/>
        </w:numPr>
        <w:spacing w:after="0" w:before="0" w:line="240" w:lineRule="auto"/>
        <w:ind w:left="714" w:right="0" w:hanging="357"/>
        <w:contextualSpacing w:val="1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Guide thérapeutique VIH. [En ligne]. Disponible 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http://www.guidetherapeutiquevih.com</w:t>
        </w:r>
      </w:hyperlink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  <w:tab/>
      <w:tab/>
      <w:t xml:space="preserve">Septembre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Courier New" w:cs="Courier New" w:eastAsia="Courier New" w:hAnsi="Courier New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guidetherapeutiquevih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