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les inhibiteurs de la phosphodiestérases 5 (IPDE5) et les antirétroviraux combinés au ritonavir ou au 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Sild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nafil (Viagra, Revatio)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Tadalafil (Cialis, Adcirca)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Vardénafil (Levitra, Staxyn)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 </w:t>
      </w:r>
    </w:p>
    <w:p w:rsidR="00000000" w:rsidDel="00000000" w:rsidP="00000000" w:rsidRDefault="00000000" w:rsidRPr="00000000" w14:paraId="0000000D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Atazanavir/Cobicistat (Evotaz)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Elvitégravir/Cobicistat/Emtricitabine/Ténofovir (Stribild, Genvoya)</w:t>
      </w:r>
    </w:p>
    <w:p w:rsidR="00000000" w:rsidDel="00000000" w:rsidP="00000000" w:rsidRDefault="00000000" w:rsidRPr="00000000" w14:paraId="00000012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Lopinavir/Ritonavir (Kaletra)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de la toxicité des IPDE5 peut survenir lors de l’administration concomitante avec un antirétroviral mentionné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1-13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cobicistat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ritonavir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ont des inhibiteurs du cytochrome (CYP) 3A4.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métabolisme des IP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implique ce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CYP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Cette inhibition peut augmenter la concentration plasmatique des IP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 le risque d’effets indésirables associés.</w:t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 information, voici des études évaluant les interactions ci-haut :</w:t>
      </w:r>
    </w:p>
    <w:p w:rsidR="00000000" w:rsidDel="00000000" w:rsidP="00000000" w:rsidRDefault="00000000" w:rsidRPr="00000000" w14:paraId="0000001D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Sildénafil (Viagra)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4, 5, 6, 13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Saquinavir 1200 mg TID/ritonavir 500 mg BID +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nafil 100 mg : ↑ de la surface sous la courbe (SSC) du sild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nafil de 11 fois.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Darunavir 400 mg BID/ritonavir 100 mg BID + sild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nafil 25 mg : SSC équivalente à sild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nafil 100 mg seul.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Tadalafil (Cialis)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8, 9, 13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Ritonavir 200 mg BID + tadalafil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 mg : ↑ de 124 % de la SSC du tadalafil.</w:t>
      </w:r>
    </w:p>
    <w:p w:rsidR="00000000" w:rsidDel="00000000" w:rsidP="00000000" w:rsidRDefault="00000000" w:rsidRPr="00000000" w14:paraId="00000023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  <w:shd w:fill="cfe2f3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1, 2, 3, 4, 5, 7, 9, 10, 12, 13, 14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Traitement d’une hyperplasie bénigne de la prostate ou symptômes d’affection des voies urinaires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Tadalafil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5 mg DIE 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 requiert pas d’ajustement de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ose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intolérance, réduire à 2,5 mg DIE. 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entury Gothic" w:cs="Century Gothic" w:eastAsia="Century Gothic" w:hAnsi="Century Gothic"/>
          <w:i w:val="1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2. Dysfonction érectile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 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Sildénafil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sildenafil est ajoutée à une thérapie antirétrovirale déjà existante.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Débuter le sildénafil à la plus faible dose possible, soit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mg aux 48 heures puis augmenter la dose selon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la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réponse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et la tolérance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 le patient 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actuellement sur sildénafil puis qu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’un antirétroviral nommé ci-haut est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intégré à la pharmacothérapie.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éduire la dose du sildéna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fil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à un maximum de 25 mg aux 48 heures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puis augmenter la dose selon la réponse et la tolérance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Tadalafil 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tadalafil est ajoutée à une thérapie antirétrovirale déjà existante.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Débuter la dose de tadalafil à 10 mg aux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48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heures (pas plus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 3 doses par semaine).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Par la suite si besoin, augmenter la dose à 20 mg aux 48 heures (pas plus de 3 dose par semaine). Exercer un suivi des effets indésirables.</w:t>
      </w:r>
    </w:p>
    <w:p w:rsidR="00000000" w:rsidDel="00000000" w:rsidP="00000000" w:rsidRDefault="00000000" w:rsidRPr="00000000" w14:paraId="00000036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le patient est actuellement sur sildénafil puis qu’un antirétroviral nommé ci-haut est intégré à la pharmacothérapie.</w:t>
      </w:r>
    </w:p>
    <w:p w:rsidR="00000000" w:rsidDel="00000000" w:rsidP="00000000" w:rsidRDefault="00000000" w:rsidRPr="00000000" w14:paraId="00000037">
      <w:pPr>
        <w:numPr>
          <w:ilvl w:val="2"/>
          <w:numId w:val="9"/>
        </w:numPr>
        <w:ind w:left="21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Diminuer la dose de tadalafil à 10 mg aux 48 heures, pour un maximum de 3 fois par semaine. Par la suite si besoin, augmenter la dose à 20 mg aux 48 heures (pas plus de 3 dose par semaine). Exercer un suivi des effets indésirables</w:t>
      </w:r>
    </w:p>
    <w:p w:rsidR="00000000" w:rsidDel="00000000" w:rsidP="00000000" w:rsidRDefault="00000000" w:rsidRPr="00000000" w14:paraId="00000038">
      <w:pPr>
        <w:ind w:left="216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Vardénafil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Contre-indiqué selon la monographie canadienne mais la monographie américaine mentionne de 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ébuter ou de diminuer la dose de vardénafil à 2,5 mg aux 72 heures.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Solution de rechange : sildenafil ou tadalafil (voir dose ci-haut).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bookmarkStart w:colFirst="0" w:colLast="0" w:name="_ajl3foi4zzt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</w:rPr>
      </w:pPr>
      <w:bookmarkStart w:colFirst="0" w:colLast="0" w:name="_gjdgxs" w:id="1"/>
      <w:bookmarkEnd w:id="1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3. Hypertension pulmonaire :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*Sildénafil et vardénafil sont contre-indiqués selon les monographies*</w:t>
      </w:r>
    </w:p>
    <w:p w:rsidR="00000000" w:rsidDel="00000000" w:rsidP="00000000" w:rsidRDefault="00000000" w:rsidRPr="00000000" w14:paraId="0000004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1, 2, 3, 6, 7, 8, 10, 12, 13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Surveillance étroite de l’efficacité et de l’innocuité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des IPDE5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(hypotension, tachycardie, céphalées, étourdissements, priapisme, rougeurs faciales (flushing), effets gastro-intestinaux (ex : diarr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hée)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troubles visuels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congestion nasale, syncope, etc.).</w:t>
      </w:r>
    </w:p>
    <w:p w:rsidR="00000000" w:rsidDel="00000000" w:rsidP="00000000" w:rsidRDefault="00000000" w:rsidRPr="00000000" w14:paraId="0000004A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pratique: __________    Signature : __________</w:t>
            </w:r>
          </w:p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entury Gothic" w:cs="Century Gothic" w:eastAsia="Century Gothic" w:hAnsi="Century Gothic"/>
          <w:sz w:val="22"/>
          <w:szCs w:val="22"/>
          <w:shd w:fill="cfe2f3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 : Sildénafil (Viagra), P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zer Canada inc.. 26 mai 2015.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Sildenafil (Revatio), Pfizer Canada inc.. 30 octobre 2017.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2"/>
          <w:szCs w:val="22"/>
          <w:u w:val="none"/>
          <w:vertAlign w:val="baseline"/>
          <w:rtl w:val="0"/>
        </w:rPr>
        <w:t xml:space="preserve">Monographie :</w:t>
      </w:r>
      <w:r w:rsidDel="00000000" w:rsidR="00000000" w:rsidRPr="00000000">
        <w:rPr>
          <w:rFonts w:ascii="Century Gothic" w:cs="Century Gothic" w:eastAsia="Century Gothic" w:hAnsi="Century Gothic"/>
          <w:color w:val="262626"/>
          <w:sz w:val="22"/>
          <w:szCs w:val="22"/>
          <w:rtl w:val="0"/>
        </w:rPr>
        <w:t xml:space="preserve"> Elvitégravir/cobicistat/emtricitabine/ténofovir disoproxil fumarate (Stribild), Gilead Sciences, Ontario, 12 avril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Muirhead GJ, Wulff MB, Fielding A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et 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.. Pharmacokinetic interactions between sildenafil and saquinavir/ritonavir. Br J Clin Pharmacol 2000: 50:99-107.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20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Sekar V, Lefebvre E, De Marez T, De Pauw M, De Paepe E, Vangeneugden T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 et al.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Effect of repeated doses of darunavir plus low-dose ritonavir on the pharmacokinetics of sildenafil in healthy male subjects: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phase I randomised, open-label, two-way crossover study. Clin Drug Investig. 2008: 28(8):479-485.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Aschmann YZ, Kummer O, Linka A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et 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.. Pharmacokinetics and pharmacodynamics of sildenafil in a patient treated with human immunodeficiency virus protease inhibitors. Ther Drug Monit 2008: 30(1):130-4.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Tadalafil (Cialis), Eli Lilly Canada inc.. 22 novembre 2016.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Tadalafil (Adcirca), Eli Lilly Canada inc.. 22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novembre 2016.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Loulergue P, Gaillard R, Mir O. Interaction involving tadalafil and CYP3A4 inhibition by ritonavir. Scand J Infect Dis 2011: 43(3):239-40.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Vardénafil (Levitra). Bayer inc.. 04 juin 2015.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Vardénafil (Staxyn). Bayer inc.. 22 juillet 2016.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20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Ritonavir (Norvir), Corporation AbbVie, Québec, Canada, 27 novembre 2017.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Guide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thérapeutique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VIH. [En ligne]. Disponible: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http://www.guidetherapeutiquevih.com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Panel on Antiretroviral Guidelines for Adults and Adolescents. Guidelines for the Use of Antiretroviral Agents in Adults and Adolescents Living with HIV. Department of Health and Human Services. Disponible: </w:t>
      </w:r>
      <w:r w:rsidDel="00000000" w:rsidR="00000000" w:rsidRPr="00000000">
        <w:rPr>
          <w:rFonts w:ascii="Century Gothic" w:cs="Century Gothic" w:eastAsia="Century Gothic" w:hAnsi="Century Gothic"/>
          <w:color w:val="1155cc"/>
          <w:sz w:val="22"/>
          <w:szCs w:val="22"/>
          <w:u w:val="single"/>
          <w:rtl w:val="0"/>
        </w:rPr>
        <w:t xml:space="preserve">http://www.aidsinfo.nih.gov/ContentFiles/ AdultandAdolescentGL.pdf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  <w:t xml:space="preserve">                                                               Septembre 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shd w:fill="auto" w:val="clea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cs="Century Gothic" w:eastAsia="Century Gothic" w:hAnsi="Century Gothic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