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Opinion pharmaceutique 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Interaction entre les bloqueurs de canaux calciques (BCC) DHP ou non-DHP et les antirétroviraux combinés au ritonavir ou au cobicistat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rFonts w:ascii="Century Gothic" w:cs="Century Gothic" w:eastAsia="Century Gothic" w:hAnsi="Century Gothic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Patient(e) : _________________________</w:t>
        <w:tab/>
        <w:tab/>
        <w:tab/>
        <w:t xml:space="preserve">DDN : _____/_____/_____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Après avoir analysé le dossier de votre patient(e), j’ai relevé un problème relié à sa pharmacothérapie. 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Interaction entre 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Amlodipine (Norvasc)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Diltiazem (Cardizem, Tiazac)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Félodipine (Plendil, Renedil)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Nifédipine (Adalat XL)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Vérapamil (Isoptin, Verelan)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t</w:t>
      </w:r>
    </w:p>
    <w:p w:rsidR="00000000" w:rsidDel="00000000" w:rsidP="00000000" w:rsidRDefault="00000000" w:rsidRPr="00000000" w14:paraId="0000000F">
      <w:pPr>
        <w:ind w:lef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Cobicistat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Atazanavir/Cobicistat (Evotaz)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Darunavir/Cobicistat (Prezcobix)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Darunavir/Cobicistat/Emtricitabine/Ténofovir alafénamide (Symtuza)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lvitégravir/Cobicistat/Emtricitabine/Ténofovir (Stribild, Genvoya)</w:t>
      </w:r>
    </w:p>
    <w:p w:rsidR="00000000" w:rsidDel="00000000" w:rsidP="00000000" w:rsidRDefault="00000000" w:rsidRPr="00000000" w14:paraId="00000014">
      <w:pPr>
        <w:ind w:left="360"/>
        <w:contextualSpacing w:val="0"/>
        <w:jc w:val="both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rtl w:val="0"/>
        </w:rPr>
        <w:t xml:space="preserve">Ritonavir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Atazanavir/Ritonavir (Reyataz/Norvir)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Darunavir/Ritonavir (Prezista/Norvir)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Lopinavir/Ritonavir (Kaletra)</w:t>
      </w:r>
    </w:p>
    <w:p w:rsidR="00000000" w:rsidDel="00000000" w:rsidP="00000000" w:rsidRDefault="00000000" w:rsidRPr="00000000" w14:paraId="00000018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Une augmentation du risque d’effets indésirables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des BCC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p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eut survenir lors de l’administration concomitante avec un antirétroviral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nommé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ci-haut. Voici pourquoi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1-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12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before="0" w:lineRule="auto"/>
        <w:ind w:left="720" w:hanging="360"/>
        <w:contextualSpacing w:val="1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Le cobicistat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et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le ritonavir sont des inhibiteurs du cytochrome (CYP) 3A4.  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hd w:fill="ffffff" w:val="clear"/>
        <w:spacing w:after="0" w:before="0" w:lineRule="auto"/>
        <w:ind w:left="1440" w:hanging="360"/>
        <w:contextualSpacing w:val="1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Les BCC sont des substrats du CYP 3A4.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before="0" w:lineRule="auto"/>
        <w:ind w:left="1440" w:hanging="360"/>
        <w:contextualSpacing w:val="1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Cette inhibition peut augmenter la concentration plasmatique des BCC et le risque d’effets indésirables associés.</w:t>
      </w:r>
    </w:p>
    <w:p w:rsidR="00000000" w:rsidDel="00000000" w:rsidP="00000000" w:rsidRDefault="00000000" w:rsidRPr="00000000" w14:paraId="0000001D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  <w:highlight w:val="lightGray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Pour de plus amples informations, voici des études évaluant les interactions ci-haut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Amlodipine/Diltiazem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/Nifédipine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 + inhibiteurs de la protéase</w:t>
      </w:r>
    </w:p>
    <w:p w:rsidR="00000000" w:rsidDel="00000000" w:rsidP="00000000" w:rsidRDefault="00000000" w:rsidRPr="00000000" w14:paraId="00000021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Amlodipine 5 mg DIE + indinavir/ritonavir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 (inhibiteurs CYP3A4) 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: ↑ d’environ 2 fois de la surface sous la courbe (SSC) de l’amlodipine. </w:t>
      </w:r>
    </w:p>
    <w:p w:rsidR="00000000" w:rsidDel="00000000" w:rsidP="00000000" w:rsidRDefault="00000000" w:rsidRPr="00000000" w14:paraId="00000022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Diltiazem 120 mg DIE + indinavir/ritonavir : ↑ de 26,5% de la SSC du diltiazem. Une augmentation de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plus de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4 fois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la SSC du diltiazem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a toutefois été rapportée chez 2 sujets, mais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aucun effet indésirable sérieux n’a été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observé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 Les chercheurs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recommandent donc d’initier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diltiazem à faibles doses et de titrer selon la réponse clinique et l’apparition d’effets indésirables.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Nifédipine 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longue action 30 mg BID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+ 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opinavir/ritonavir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cas rapporté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d’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hypotension avec insuffisance rénale progressive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qui s’est r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ésolu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à l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’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arrêt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du médicament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es mêmes symptômes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accompagnés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d’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œdème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sont apparus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lors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de la reprise de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cette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association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vertAlign w:val="superscript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La monographie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du ritonavir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recommande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d’utiliser les BCC avec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pruden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et mentionne qu’il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peut être nécessaire de diminuer la dose du BCC lorsque administré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en combinaison avec le ritonavir.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29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Options thérapeutiques possibles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superscript"/>
          <w:rtl w:val="0"/>
        </w:rPr>
        <w:t xml:space="preserve">1, 5, 7, 8, 12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 :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le BCC est ajouté à une thérapie antirétrovirale déjà existante.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Débuter le BCC avec une plus petite dose puis augmenter graduellement la dose selon efficacité et tolérance.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le patient est déjà sous un BCC et que la thérapie antirétrovirale est débutée.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Diminuer la dose actuelle du BCC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puis augmenter graduellement la dose selon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l’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efficacité et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la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tolérance.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Conserver la dose actuelle et exercer un suivi étroit des effets indésirables associés au BCC.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Si la combinaison antirétroviral + BCC à une dose donnée est actuellement bien tolérée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onserver cette combinaison et exercer un suivi étroit des effets indésirables.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Solution de rechange.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rFonts w:ascii="Century Gothic" w:cs="Century Gothic" w:eastAsia="Century Gothic" w:hAnsi="Century Gothic"/>
          <w:sz w:val="22"/>
          <w:szCs w:val="22"/>
          <w:u w:val="no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Remplacer le BCC actuel par un diurétique/bêta-bloqueur/ARA/IECA sans interaction documentée (en absence de contre-indication).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Suivi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superscript"/>
          <w:rtl w:val="0"/>
        </w:rPr>
        <w:t xml:space="preserve">1,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vertAlign w:val="superscript"/>
          <w:rtl w:val="0"/>
        </w:rPr>
        <w:t xml:space="preserve"> 10, 12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Surveiller les effets indésirables du BCC : céphalées, œdème périphérique, bouffées vasomotrices, dyspnée, douleur/oppression thoracique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,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effets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gastro-intestinaux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, fatigue, hypotension, palpitations, tachycardie/bradycardie, étourdissements, nervosité, vertige et somnolence.</w:t>
      </w:r>
    </w:p>
    <w:p w:rsidR="00000000" w:rsidDel="00000000" w:rsidP="00000000" w:rsidRDefault="00000000" w:rsidRPr="00000000" w14:paraId="0000003C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highlight w:val="lightGray"/>
          <w:rtl w:val="0"/>
        </w:rPr>
        <w:t xml:space="preserve"> </w:t>
      </w:r>
    </w:p>
    <w:p w:rsidR="00000000" w:rsidDel="00000000" w:rsidP="00000000" w:rsidRDefault="00000000" w:rsidRPr="00000000" w14:paraId="0000003E">
      <w:pPr>
        <w:contextualSpacing w:val="0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contextualSpacing w:val="0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contextualSpacing w:val="0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Suggestion de la pharmacie ou nouvelle prescription</w:t>
      </w:r>
    </w:p>
    <w:p w:rsidR="00000000" w:rsidDel="00000000" w:rsidP="00000000" w:rsidRDefault="00000000" w:rsidRPr="00000000" w14:paraId="0000004D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96"/>
        <w:tblGridChange w:id="0">
          <w:tblGrid>
            <w:gridCol w:w="9396"/>
          </w:tblGrid>
        </w:tblGridChange>
      </w:tblGrid>
      <w:tr>
        <w:tc>
          <w:tcPr/>
          <w:p w:rsidR="00000000" w:rsidDel="00000000" w:rsidP="00000000" w:rsidRDefault="00000000" w:rsidRPr="00000000" w14:paraId="0000004E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Date : _____/_____/_____</w:t>
            </w:r>
          </w:p>
          <w:p w:rsidR="00000000" w:rsidDel="00000000" w:rsidP="00000000" w:rsidRDefault="00000000" w:rsidRPr="00000000" w14:paraId="0000004F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Patient(e) : ________________________          DDN : _____/_____/_____</w:t>
            </w:r>
          </w:p>
          <w:p w:rsidR="00000000" w:rsidDel="00000000" w:rsidP="00000000" w:rsidRDefault="00000000" w:rsidRPr="00000000" w14:paraId="00000050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 Tél : _____________________________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Rx : </w:t>
            </w:r>
          </w:p>
          <w:p w:rsidR="00000000" w:rsidDel="00000000" w:rsidP="00000000" w:rsidRDefault="00000000" w:rsidRPr="00000000" w14:paraId="00000052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Renouvellements : _____</w:t>
            </w:r>
          </w:p>
          <w:p w:rsidR="00000000" w:rsidDel="00000000" w:rsidP="00000000" w:rsidRDefault="00000000" w:rsidRPr="00000000" w14:paraId="00000057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Médecin : __________     Numéro de pratique: __________    Signature : __________</w:t>
            </w:r>
          </w:p>
          <w:p w:rsidR="00000000" w:rsidDel="00000000" w:rsidP="00000000" w:rsidRDefault="00000000" w:rsidRPr="00000000" w14:paraId="0000005B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Adresse : ____________________________________________</w:t>
            </w:r>
          </w:p>
          <w:p w:rsidR="00000000" w:rsidDel="00000000" w:rsidP="00000000" w:rsidRDefault="00000000" w:rsidRPr="00000000" w14:paraId="0000005C">
            <w:pPr>
              <w:contextualSpacing w:val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#Téléphone : ____________________     #Télécopieur : ________________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contextualSpacing w:val="0"/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Certification du prescripteur </w:t>
            </w:r>
          </w:p>
          <w:p w:rsidR="00000000" w:rsidDel="00000000" w:rsidP="00000000" w:rsidRDefault="00000000" w:rsidRPr="00000000" w14:paraId="0000005E">
            <w:pPr>
              <w:contextualSpacing w:val="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Je certifie que :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cette ordonnance est une ordonnance originale,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le pharmacien identifié précité est le seul destinataire,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l’original ne sera pas réutilisé.</w:t>
            </w:r>
          </w:p>
        </w:tc>
      </w:tr>
    </w:tbl>
    <w:p w:rsidR="00000000" w:rsidDel="00000000" w:rsidP="00000000" w:rsidRDefault="00000000" w:rsidRPr="00000000" w14:paraId="00000062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Veuillez svp nous faire parvenir une copie de cette page avec votre conduite à tenir. </w:t>
      </w:r>
    </w:p>
    <w:p w:rsidR="00000000" w:rsidDel="00000000" w:rsidP="00000000" w:rsidRDefault="00000000" w:rsidRPr="00000000" w14:paraId="00000064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Si vous avez besoin d’information complémentaire, n’hésitez pas à communiquer avec moi. </w:t>
      </w:r>
    </w:p>
    <w:p w:rsidR="00000000" w:rsidDel="00000000" w:rsidP="00000000" w:rsidRDefault="00000000" w:rsidRPr="00000000" w14:paraId="00000066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Cordialement, </w:t>
      </w:r>
    </w:p>
    <w:p w:rsidR="00000000" w:rsidDel="00000000" w:rsidP="00000000" w:rsidRDefault="00000000" w:rsidRPr="00000000" w14:paraId="00000068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Pharmacien(ne) : ____________________</w:t>
        <w:tab/>
        <w:t xml:space="preserve">Pharmacie : ____________________</w:t>
      </w:r>
    </w:p>
    <w:p w:rsidR="00000000" w:rsidDel="00000000" w:rsidP="00000000" w:rsidRDefault="00000000" w:rsidRPr="00000000" w14:paraId="0000006A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#Téléphone : ____________________</w:t>
        <w:tab/>
        <w:t xml:space="preserve">#Télécopieur : ____________________</w:t>
      </w:r>
    </w:p>
    <w:p w:rsidR="00000000" w:rsidDel="00000000" w:rsidP="00000000" w:rsidRDefault="00000000" w:rsidRPr="00000000" w14:paraId="0000006B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contextualSpacing w:val="0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contextualSpacing w:val="0"/>
        <w:jc w:val="both"/>
        <w:rPr>
          <w:rFonts w:ascii="Century Gothic" w:cs="Century Gothic" w:eastAsia="Century Gothic" w:hAnsi="Century Gothic"/>
          <w:b w:val="1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2"/>
          <w:szCs w:val="22"/>
          <w:rtl w:val="0"/>
        </w:rPr>
        <w:t xml:space="preserve">Références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contextualSpacing w:val="0"/>
        <w:jc w:val="both"/>
        <w:rPr>
          <w:rFonts w:ascii="Century Gothic" w:cs="Century Gothic" w:eastAsia="Century Gothic" w:hAnsi="Century Gothic"/>
          <w:sz w:val="22"/>
          <w:szCs w:val="22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Monographie : Amlodipine (Norvasc), Pfizer, Québec, Canada,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12 septembre 2017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Monographie : Diltiazem CD, Sandoz, Québec, Canada, 08 février 2016.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Monographie : Felodipine (Renedil), Sanofi-Aventis, Québec, Canada, 26 avril 2006.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Monographie : Nifedipine (Adalat XL), Bayer, Ontario, Canada, 25 juillet 2016. 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Monographie : Verapamil SR (Isoptin SR), BGP Pharma ULC, Québec, Canada, 19 août 2015.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Monographie :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Elvitégravir/cobicistat/emtricitabine/ténofovir disoproxil fumarate (Stribild),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Gilead Sciences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, Ontario, 12 avril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9"/>
        </w:numPr>
        <w:tabs>
          <w:tab w:val="left" w:pos="220"/>
          <w:tab w:val="left" w:pos="720"/>
        </w:tabs>
        <w:spacing w:after="0" w:before="0" w:line="240" w:lineRule="auto"/>
        <w:ind w:left="714" w:right="0" w:hanging="357"/>
        <w:contextualSpacing w:val="1"/>
        <w:jc w:val="both"/>
        <w:rPr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Monographie : Ritonavir (Norvir), Corporation AbbVie, Québec, Canada, 27 novembre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Glesby MJ, Aberg JA, Kendall MA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et al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Pharmacokinetics interactions between indinavir plus ritonavir and calcium channel blockers. Clin Pharmacol Ther 2005, 78(2): 143-53.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Baeza MT, Merino E, Boix V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et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Climent E.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Nifedipine – lopinavir/ritonavir severe interaction: a case report. AIDS 2007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,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21(1): 119-120.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Rossi DR, Rathbun RC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et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Slater LN.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Symptomatic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orthostatis with extended-release nifedipine and protease inhibitors. Pharmacother 2002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,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22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 (10)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: 1312-1316.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contextualSpacing w:val="1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o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dzamczer D, Tashima K, Daar 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et al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.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Utilizing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p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hase 3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c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linical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t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rial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ata to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a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ssess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a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dverse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vent (AE)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f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requency of a Potentially Interacting Medication (PIM)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a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mlodipine with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e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lvitegravir/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vertAlign w:val="baseline"/>
          <w:rtl w:val="0"/>
        </w:rPr>
        <w:t xml:space="preserve">c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obicistat (abstract P314). HIV Drug Therapy, Oct 22-26, 2016, Glasgow, UK.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ind w:left="714" w:hanging="357"/>
        <w:contextualSpacing w:val="0"/>
        <w:jc w:val="both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Guide thérapeutique VIH. [En ligne]. Disponible: </w:t>
      </w:r>
      <w:r w:rsidDel="00000000" w:rsidR="00000000" w:rsidRPr="00000000">
        <w:rPr>
          <w:rFonts w:ascii="Century Gothic" w:cs="Century Gothic" w:eastAsia="Century Gothic" w:hAnsi="Century Gothic"/>
          <w:color w:val="0000ff"/>
          <w:sz w:val="22"/>
          <w:szCs w:val="22"/>
          <w:rtl w:val="0"/>
        </w:rPr>
        <w:t xml:space="preserve">http://www.guidetherapeutiquevih.com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contextualSpacing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www.guidetherapeutiquevih.com</w:t>
      </w:r>
    </w:hyperlink>
    <w:r w:rsidDel="00000000" w:rsidR="00000000" w:rsidRPr="00000000">
      <w:rPr>
        <w:rtl w:val="0"/>
      </w:rPr>
      <w:tab/>
      <w:tab/>
      <w:t xml:space="preserve">         Septembre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2018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b w:val="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cs="Century Gothic" w:eastAsia="Century Gothic" w:hAnsi="Century Gothic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uidetherapeutiquevi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