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Opinion pharmaceutique</w:t>
      </w:r>
    </w:p>
    <w:p w:rsidR="00000000" w:rsidDel="00000000" w:rsidP="00000000" w:rsidRDefault="00000000" w:rsidRPr="00000000" w14:paraId="00000001">
      <w:pPr>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la colchicine et les antirétroviraux combinés </w:t>
      </w:r>
    </w:p>
    <w:p w:rsidR="00000000" w:rsidDel="00000000" w:rsidP="00000000" w:rsidRDefault="00000000" w:rsidRPr="00000000" w14:paraId="00000003">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au ritonavir </w:t>
      </w:r>
      <w:r w:rsidDel="00000000" w:rsidR="00000000" w:rsidRPr="00000000">
        <w:rPr>
          <w:rFonts w:ascii="Century Gothic" w:cs="Century Gothic" w:eastAsia="Century Gothic" w:hAnsi="Century Gothic"/>
          <w:b w:val="1"/>
          <w:sz w:val="22"/>
          <w:szCs w:val="22"/>
          <w:rtl w:val="0"/>
        </w:rPr>
        <w:t xml:space="preserve">ou au cobicistat</w:t>
      </w:r>
      <w:r w:rsidDel="00000000" w:rsidR="00000000" w:rsidRPr="00000000">
        <w:rPr>
          <w:rtl w:val="0"/>
        </w:rPr>
      </w:r>
    </w:p>
    <w:p w:rsidR="00000000" w:rsidDel="00000000" w:rsidP="00000000" w:rsidRDefault="00000000" w:rsidRPr="00000000" w14:paraId="00000004">
      <w:pPr>
        <w:contextualSpacing w:val="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_________________________</w:t>
        <w:tab/>
        <w:tab/>
        <w:tab/>
        <w:t xml:space="preserve">DDN : _____/_____/_____</w:t>
      </w:r>
    </w:p>
    <w:p w:rsidR="00000000" w:rsidDel="00000000" w:rsidP="00000000" w:rsidRDefault="00000000" w:rsidRPr="00000000" w14:paraId="00000006">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Après avoir analysé le dossier de votre patient(e), j’ai relevé un problème relié à sa pharmacothérapie. </w:t>
      </w:r>
    </w:p>
    <w:p w:rsidR="00000000" w:rsidDel="00000000" w:rsidP="00000000" w:rsidRDefault="00000000" w:rsidRPr="00000000" w14:paraId="00000008">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w:t>
      </w:r>
    </w:p>
    <w:p w:rsidR="00000000" w:rsidDel="00000000" w:rsidP="00000000" w:rsidRDefault="00000000" w:rsidRPr="00000000" w14:paraId="0000000A">
      <w:pPr>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Colchicine</w:t>
      </w:r>
    </w:p>
    <w:p w:rsidR="00000000" w:rsidDel="00000000" w:rsidP="00000000" w:rsidRDefault="00000000" w:rsidRPr="00000000" w14:paraId="0000000B">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Et </w:t>
      </w:r>
    </w:p>
    <w:p w:rsidR="00000000" w:rsidDel="00000000" w:rsidP="00000000" w:rsidRDefault="00000000" w:rsidRPr="00000000" w14:paraId="0000000C">
      <w:pPr>
        <w:contextualSpacing w:val="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Cobicistat</w:t>
      </w:r>
    </w:p>
    <w:p w:rsidR="00000000" w:rsidDel="00000000" w:rsidP="00000000" w:rsidRDefault="00000000" w:rsidRPr="00000000" w14:paraId="0000000D">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Atazanavir/Cobicistat (Evotaz)</w:t>
      </w:r>
    </w:p>
    <w:p w:rsidR="00000000" w:rsidDel="00000000" w:rsidP="00000000" w:rsidRDefault="00000000" w:rsidRPr="00000000" w14:paraId="0000000E">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Darunavir/Cobicistat (Prezcobix)</w:t>
      </w:r>
    </w:p>
    <w:p w:rsidR="00000000" w:rsidDel="00000000" w:rsidP="00000000" w:rsidRDefault="00000000" w:rsidRPr="00000000" w14:paraId="0000000F">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Darunavir/Cobicistat/Emtricitabine/Ténofovir alafénamide (Symtuza)</w:t>
      </w:r>
    </w:p>
    <w:p w:rsidR="00000000" w:rsidDel="00000000" w:rsidP="00000000" w:rsidRDefault="00000000" w:rsidRPr="00000000" w14:paraId="00000010">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Elvitégravir/Cobicistat/Emtricitabine/Ténofovir (Stribild, Genvoya)</w:t>
      </w:r>
    </w:p>
    <w:p w:rsidR="00000000" w:rsidDel="00000000" w:rsidP="00000000" w:rsidRDefault="00000000" w:rsidRPr="00000000" w14:paraId="00000011">
      <w:pPr>
        <w:contextualSpacing w:val="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Ritonavir</w:t>
      </w:r>
    </w:p>
    <w:p w:rsidR="00000000" w:rsidDel="00000000" w:rsidP="00000000" w:rsidRDefault="00000000" w:rsidRPr="00000000" w14:paraId="00000012">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Atazanavir/Ritonavir (Reyataz/Norvir)</w:t>
      </w:r>
    </w:p>
    <w:p w:rsidR="00000000" w:rsidDel="00000000" w:rsidP="00000000" w:rsidRDefault="00000000" w:rsidRPr="00000000" w14:paraId="00000013">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Darunavir/Ritonavir (Prezista/Norvir)</w:t>
      </w:r>
    </w:p>
    <w:p w:rsidR="00000000" w:rsidDel="00000000" w:rsidP="00000000" w:rsidRDefault="00000000" w:rsidRPr="00000000" w14:paraId="00000014">
      <w:pPr>
        <w:numPr>
          <w:ilvl w:val="0"/>
          <w:numId w:val="3"/>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Lopinavir/Ritonavir (Kaletra)</w:t>
      </w:r>
    </w:p>
    <w:p w:rsidR="00000000" w:rsidDel="00000000" w:rsidP="00000000" w:rsidRDefault="00000000" w:rsidRPr="00000000" w14:paraId="00000015">
      <w:pPr>
        <w:ind w:left="720" w:firstLine="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Une augmentation du risque de toxicité de la colchicine peut survenir lors de l’administration concomitante avec un antirétroviral ci-haut. Voici pourquoi</w:t>
      </w:r>
      <w:r w:rsidDel="00000000" w:rsidR="00000000" w:rsidRPr="00000000">
        <w:rPr>
          <w:rFonts w:ascii="Century Gothic" w:cs="Century Gothic" w:eastAsia="Century Gothic" w:hAnsi="Century Gothic"/>
          <w:sz w:val="22"/>
          <w:szCs w:val="22"/>
          <w:vertAlign w:val="superscript"/>
          <w:rtl w:val="0"/>
        </w:rPr>
        <w:t xml:space="preserve">1-7</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cobicistat</w:t>
      </w:r>
      <w:r w:rsidDel="00000000" w:rsidR="00000000" w:rsidRPr="00000000">
        <w:rPr>
          <w:rFonts w:ascii="Century Gothic" w:cs="Century Gothic" w:eastAsia="Century Gothic" w:hAnsi="Century Gothic"/>
          <w:sz w:val="22"/>
          <w:szCs w:val="22"/>
          <w:rtl w:val="0"/>
        </w:rPr>
        <w:t xml:space="preserve"> et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le ritonavir</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sont des inhibiteurs du transporteur P-glycoprotéine (P-gp) et du cytochrome (CYP) 3A4.  </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colchicine est un substrat d</w:t>
      </w:r>
      <w:r w:rsidDel="00000000" w:rsidR="00000000" w:rsidRPr="00000000">
        <w:rPr>
          <w:rFonts w:ascii="Century Gothic" w:cs="Century Gothic" w:eastAsia="Century Gothic" w:hAnsi="Century Gothic"/>
          <w:sz w:val="22"/>
          <w:szCs w:val="22"/>
          <w:rtl w:val="0"/>
        </w:rPr>
        <w:t xml:space="preserve">e la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P-gp et du CYP3A4. </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Ces inhibitions peuvent augmenter la concentration plasmatique de la colchicine et </w:t>
      </w:r>
      <w:r w:rsidDel="00000000" w:rsidR="00000000" w:rsidRPr="00000000">
        <w:rPr>
          <w:rFonts w:ascii="Century Gothic" w:cs="Century Gothic" w:eastAsia="Century Gothic" w:hAnsi="Century Gothic"/>
          <w:sz w:val="22"/>
          <w:szCs w:val="22"/>
          <w:rtl w:val="0"/>
        </w:rPr>
        <w:t xml:space="preserve">le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risque de toxicité.</w:t>
      </w:r>
    </w:p>
    <w:p w:rsidR="00000000" w:rsidDel="00000000" w:rsidP="00000000" w:rsidRDefault="00000000" w:rsidRPr="00000000" w14:paraId="0000001A">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widowControl w:val="0"/>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Pour de plus amples informations, voici des études évaluant les interactions ci-haut :</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Colchicine + ritonavir :</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L’administration concomitante de la colchicine avec le ritonavir a démontré une augmentation d</w:t>
      </w:r>
      <w:r w:rsidDel="00000000" w:rsidR="00000000" w:rsidRPr="00000000">
        <w:rPr>
          <w:rFonts w:ascii="Century Gothic" w:cs="Century Gothic" w:eastAsia="Century Gothic" w:hAnsi="Century Gothic"/>
          <w:sz w:val="22"/>
          <w:szCs w:val="22"/>
          <w:rtl w:val="0"/>
        </w:rPr>
        <w:t xml:space="preserve">’environ</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 245% de la surface sous la courbe (SSC) </w:t>
      </w:r>
      <w:r w:rsidDel="00000000" w:rsidR="00000000" w:rsidRPr="00000000">
        <w:rPr>
          <w:rFonts w:ascii="Century Gothic" w:cs="Century Gothic" w:eastAsia="Century Gothic" w:hAnsi="Century Gothic"/>
          <w:sz w:val="22"/>
          <w:szCs w:val="22"/>
          <w:rtl w:val="0"/>
        </w:rPr>
        <w:t xml:space="preserve">de la colchicine</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 comparé à l</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emploi de la colchicine seule</w:t>
      </w:r>
      <w:r w:rsidDel="00000000" w:rsidR="00000000" w:rsidRPr="00000000">
        <w:rPr>
          <w:rFonts w:ascii="Century Gothic" w:cs="Century Gothic" w:eastAsia="Century Gothic" w:hAnsi="Century Gothic"/>
          <w:sz w:val="22"/>
          <w:szCs w:val="22"/>
          <w:rtl w:val="0"/>
        </w:rPr>
        <w:t xml:space="preserve">. De plus, la clairance de la colchicine était diminuée de 70% lorsque cet agent était combiné au ritonavir.</w:t>
      </w:r>
      <w:r w:rsidDel="00000000" w:rsidR="00000000" w:rsidRPr="00000000">
        <w:rPr>
          <w:rFonts w:ascii="Century Gothic" w:cs="Century Gothic" w:eastAsia="Century Gothic" w:hAnsi="Century Gothic"/>
          <w:sz w:val="22"/>
          <w:szCs w:val="22"/>
          <w:vertAlign w:val="superscript"/>
          <w:rtl w:val="0"/>
        </w:rPr>
        <w:t xml:space="preserve">4</w:t>
      </w:r>
      <w:r w:rsidDel="00000000" w:rsidR="00000000" w:rsidRPr="00000000">
        <w:rPr>
          <w:rtl w:val="0"/>
        </w:rPr>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Un avis de la FDA a été émis en 2009 à l’effet que des cas de toxicité à la colchicine, dont certains mortels, avaient été rapportés dans la littérature avec l’utilisation concomitante d’inhibiteurs du CYP3A4 et de la P-gp, particulièrement chez des patients avec atteintes rénales ou hépatiques.</w:t>
      </w:r>
      <w:r w:rsidDel="00000000" w:rsidR="00000000" w:rsidRPr="00000000">
        <w:rPr>
          <w:rFonts w:ascii="Century Gothic" w:cs="Century Gothic" w:eastAsia="Century Gothic" w:hAnsi="Century Gothic"/>
          <w:sz w:val="22"/>
          <w:szCs w:val="22"/>
          <w:vertAlign w:val="superscript"/>
          <w:rtl w:val="0"/>
        </w:rPr>
        <w:t xml:space="preserve">6</w:t>
      </w:r>
      <w:r w:rsidDel="00000000" w:rsidR="00000000" w:rsidRPr="00000000">
        <w:rPr>
          <w:rtl w:val="0"/>
        </w:rPr>
      </w:r>
    </w:p>
    <w:p w:rsidR="00000000" w:rsidDel="00000000" w:rsidP="00000000" w:rsidRDefault="00000000" w:rsidRPr="00000000" w14:paraId="0000001F">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Century Gothic" w:cs="Century Gothic" w:eastAsia="Century Gothic" w:hAnsi="Century Gothic"/>
          <w:sz w:val="22"/>
          <w:szCs w:val="22"/>
          <w:vertAlign w:val="superscript"/>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Options thérapeutiques possibles</w:t>
      </w:r>
      <w:r w:rsidDel="00000000" w:rsidR="00000000" w:rsidRPr="00000000">
        <w:rPr>
          <w:rFonts w:ascii="Century Gothic" w:cs="Century Gothic" w:eastAsia="Century Gothic" w:hAnsi="Century Gothic"/>
          <w:b w:val="1"/>
          <w:sz w:val="22"/>
          <w:szCs w:val="22"/>
          <w:vertAlign w:val="superscript"/>
          <w:rtl w:val="0"/>
        </w:rPr>
        <w:t xml:space="preserve">1-7</w:t>
      </w:r>
      <w:r w:rsidDel="00000000" w:rsidR="00000000" w:rsidRPr="00000000">
        <w:rPr>
          <w:rFonts w:ascii="Century Gothic" w:cs="Century Gothic" w:eastAsia="Century Gothic" w:hAnsi="Century Gothic"/>
          <w:b w:val="1"/>
          <w:sz w:val="22"/>
          <w:szCs w:val="22"/>
          <w:rtl w:val="0"/>
        </w:rPr>
        <w:t xml:space="preserve"> :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L’association de la colchicine avec un antirétroviral nommé ci-haut est c</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ontre-indiquée chez des patients insuffisants hépatiques ou rénaux.</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Ajustement de doses de colchicine :</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Crises de gouttes </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0,6 mg (1 co) x 1 dose, puis 0,3 mg (½ co) 1 heur</w:t>
      </w:r>
      <w:r w:rsidDel="00000000" w:rsidR="00000000" w:rsidRPr="00000000">
        <w:rPr>
          <w:rFonts w:ascii="Century Gothic" w:cs="Century Gothic" w:eastAsia="Century Gothic" w:hAnsi="Century Gothic"/>
          <w:sz w:val="22"/>
          <w:szCs w:val="22"/>
          <w:rtl w:val="0"/>
        </w:rPr>
        <w:t xml:space="preserve">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plus tard.</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 pas répéter ce cycle avant 3 jours. </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Prophylaxie des crises de gouttes</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 traitement initial était de 0,6 mg BID, ajuster à 0,3 mg DIE.</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 traitement initial était de 0,6 mg DIE ou 0,3 mg BID, ajuster à 0,3 mg q 2 jours.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Les patients actuellement sous traitement avec cette association et la tolérant peuvent conserver leur thérapie. Exercer un suivi étroit des effets indésirables </w:t>
      </w:r>
      <w:r w:rsidDel="00000000" w:rsidR="00000000" w:rsidRPr="00000000">
        <w:rPr>
          <w:rFonts w:ascii="Century Gothic" w:cs="Century Gothic" w:eastAsia="Century Gothic" w:hAnsi="Century Gothic"/>
          <w:sz w:val="22"/>
          <w:szCs w:val="22"/>
          <w:rtl w:val="0"/>
        </w:rPr>
        <w:t xml:space="preserve">pouvant survenir avec l’utilsation prolongée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contextualSpacing w:val="0"/>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2D">
      <w:pPr>
        <w:contextualSpacing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E">
      <w:pPr>
        <w:contextualSpacing w:val="0"/>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rtl w:val="0"/>
        </w:rPr>
        <w:t xml:space="preserve">Suivi :</w:t>
      </w:r>
      <w:r w:rsidDel="00000000" w:rsidR="00000000" w:rsidRPr="00000000">
        <w:rPr>
          <w:rFonts w:ascii="Century Gothic" w:cs="Century Gothic" w:eastAsia="Century Gothic" w:hAnsi="Century Gothic"/>
          <w:sz w:val="22"/>
          <w:szCs w:val="22"/>
          <w:u w:val="single"/>
          <w:rtl w:val="0"/>
        </w:rPr>
        <w:t xml:space="preserve">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Surveiller l</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efficacité et la toxicité de la colchicine (nausées, vomissements, diarrhées, douleur abdominale, pancytopénie, neuromyopathie, rhabdomyolyse, dépression médullaire, atteinte rénale ou hépatique, éruption cutanée, azoospermie, défaillance polyviscérale, dépression respiratoire, collapsus cardiovasculaire, etc.).</w:t>
      </w:r>
    </w:p>
    <w:p w:rsidR="00000000" w:rsidDel="00000000" w:rsidP="00000000" w:rsidRDefault="00000000" w:rsidRPr="00000000" w14:paraId="00000030">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contextualSpacing w:val="0"/>
        <w:rPr>
          <w:rFonts w:ascii="Century Gothic" w:cs="Century Gothic" w:eastAsia="Century Gothic" w:hAnsi="Century Gothic"/>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Suggestion de la pharmacie ou nouvelle prescription</w:t>
      </w:r>
    </w:p>
    <w:p w:rsidR="00000000" w:rsidDel="00000000" w:rsidP="00000000" w:rsidRDefault="00000000" w:rsidRPr="00000000" w14:paraId="00000033">
      <w:pPr>
        <w:contextualSpacing w:val="0"/>
        <w:jc w:val="both"/>
        <w:rPr>
          <w:rFonts w:ascii="Century Gothic" w:cs="Century Gothic" w:eastAsia="Century Gothic" w:hAnsi="Century Gothic"/>
          <w:sz w:val="22"/>
          <w:szCs w:val="22"/>
          <w:u w:val="single"/>
        </w:rPr>
      </w:pP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6"/>
        <w:tblGridChange w:id="0">
          <w:tblGrid>
            <w:gridCol w:w="9396"/>
          </w:tblGrid>
        </w:tblGridChange>
      </w:tblGrid>
      <w:tr>
        <w:tc>
          <w:tcPr/>
          <w:p w:rsidR="00000000" w:rsidDel="00000000" w:rsidP="00000000" w:rsidRDefault="00000000" w:rsidRPr="00000000" w14:paraId="00000034">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 _____/_____/_____</w:t>
            </w:r>
          </w:p>
          <w:p w:rsidR="00000000" w:rsidDel="00000000" w:rsidP="00000000" w:rsidRDefault="00000000" w:rsidRPr="00000000" w14:paraId="00000035">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          DDN : _____/_____/_____</w:t>
            </w:r>
          </w:p>
          <w:p w:rsidR="00000000" w:rsidDel="00000000" w:rsidP="00000000" w:rsidRDefault="00000000" w:rsidRPr="00000000" w14:paraId="0000003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Téléphone : _____________________________</w:t>
            </w:r>
          </w:p>
        </w:tc>
      </w:tr>
      <w:tr>
        <w:tc>
          <w:tcPr/>
          <w:p w:rsidR="00000000" w:rsidDel="00000000" w:rsidP="00000000" w:rsidRDefault="00000000" w:rsidRPr="00000000" w14:paraId="00000037">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Rx : </w:t>
            </w:r>
          </w:p>
          <w:p w:rsidR="00000000" w:rsidDel="00000000" w:rsidP="00000000" w:rsidRDefault="00000000" w:rsidRPr="00000000" w14:paraId="00000038">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9">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B">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Renouvellements : _____</w:t>
            </w:r>
          </w:p>
          <w:p w:rsidR="00000000" w:rsidDel="00000000" w:rsidP="00000000" w:rsidRDefault="00000000" w:rsidRPr="00000000" w14:paraId="0000003D">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E">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0">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Médecin : __________     Numéro de pratique : __________    Signature : __________</w:t>
            </w:r>
          </w:p>
          <w:p w:rsidR="00000000" w:rsidDel="00000000" w:rsidP="00000000" w:rsidRDefault="00000000" w:rsidRPr="00000000" w14:paraId="00000041">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Adresse : ____________________________________________</w:t>
            </w:r>
          </w:p>
          <w:p w:rsidR="00000000" w:rsidDel="00000000" w:rsidP="00000000" w:rsidRDefault="00000000" w:rsidRPr="00000000" w14:paraId="00000042">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     #Télécopieur : ________________</w:t>
            </w:r>
          </w:p>
        </w:tc>
      </w:tr>
      <w:tr>
        <w:tc>
          <w:tcPr/>
          <w:p w:rsidR="00000000" w:rsidDel="00000000" w:rsidP="00000000" w:rsidRDefault="00000000" w:rsidRPr="00000000" w14:paraId="00000043">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Certification du prescripteur </w:t>
            </w:r>
          </w:p>
          <w:p w:rsidR="00000000" w:rsidDel="00000000" w:rsidP="00000000" w:rsidRDefault="00000000" w:rsidRPr="00000000" w14:paraId="00000044">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Je certifie que :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cette ordonnance est une ordonnance originale, </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pharmacien identifié précité est le seul destinataire,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l’original ne sera pas réutilisé.</w:t>
            </w:r>
          </w:p>
        </w:tc>
      </w:tr>
    </w:tbl>
    <w:p w:rsidR="00000000" w:rsidDel="00000000" w:rsidP="00000000" w:rsidRDefault="00000000" w:rsidRPr="00000000" w14:paraId="00000048">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9">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Veuillez svp nous faire parvenir une copie de cette page avec votre conduite à tenir. </w:t>
      </w:r>
    </w:p>
    <w:p w:rsidR="00000000" w:rsidDel="00000000" w:rsidP="00000000" w:rsidRDefault="00000000" w:rsidRPr="00000000" w14:paraId="0000004A">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B">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 vous avez besoin d’information complémentaire, n’hésitez pas à communiquer avec moi. </w:t>
      </w:r>
    </w:p>
    <w:p w:rsidR="00000000" w:rsidDel="00000000" w:rsidP="00000000" w:rsidRDefault="00000000" w:rsidRPr="00000000" w14:paraId="0000004C">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Cordialement, </w:t>
      </w:r>
    </w:p>
    <w:p w:rsidR="00000000" w:rsidDel="00000000" w:rsidP="00000000" w:rsidRDefault="00000000" w:rsidRPr="00000000" w14:paraId="0000004E">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F">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Pharmacien(ne) : ____________________</w:t>
        <w:tab/>
        <w:t xml:space="preserve">Pharmacie : ____________________</w:t>
      </w:r>
    </w:p>
    <w:p w:rsidR="00000000" w:rsidDel="00000000" w:rsidP="00000000" w:rsidRDefault="00000000" w:rsidRPr="00000000" w14:paraId="00000050">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w:t>
        <w:tab/>
        <w:t xml:space="preserve">#Télécopieur : ____________________</w:t>
      </w:r>
    </w:p>
    <w:p w:rsidR="00000000" w:rsidDel="00000000" w:rsidP="00000000" w:rsidRDefault="00000000" w:rsidRPr="00000000" w14:paraId="00000051">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2">
      <w:pPr>
        <w:contextualSpacing w:val="0"/>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Références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entury Gothic" w:cs="Century Gothic" w:eastAsia="Century Gothic" w:hAnsi="Century Gothic"/>
          <w:sz w:val="22"/>
          <w:szCs w:val="22"/>
          <w:shd w:fill="f4cccc" w:val="clea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w:t>
      </w:r>
      <w:r w:rsidDel="00000000" w:rsidR="00000000" w:rsidRPr="00000000">
        <w:rPr>
          <w:rFonts w:ascii="Century Gothic" w:cs="Century Gothic" w:eastAsia="Century Gothic" w:hAnsi="Century Gothic"/>
          <w:sz w:val="22"/>
          <w:szCs w:val="22"/>
          <w:rtl w:val="0"/>
        </w:rPr>
        <w:t xml:space="preserve">onographie : Stribild (elvitégravir, cobicistat, emtricitabine, ténofovir disoproxil fumarate), Gilead Sciences Canada Inc., Ontario, Canada, 9 novembre 2017.</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Monographie : Colchicine.</w:t>
      </w:r>
      <w:r w:rsidDel="00000000" w:rsidR="00000000" w:rsidRPr="00000000">
        <w:rPr>
          <w:rFonts w:ascii="Century Gothic" w:cs="Century Gothic" w:eastAsia="Century Gothic" w:hAnsi="Century Gothic"/>
          <w:sz w:val="22"/>
          <w:szCs w:val="22"/>
          <w:rtl w:val="0"/>
        </w:rPr>
        <w:t xml:space="preserve"> Pharmascience Inc.,</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 Québec, Canada</w:t>
      </w:r>
      <w:r w:rsidDel="00000000" w:rsidR="00000000" w:rsidRPr="00000000">
        <w:rPr>
          <w:rFonts w:ascii="Century Gothic" w:cs="Century Gothic" w:eastAsia="Century Gothic" w:hAnsi="Century Gothic"/>
          <w:sz w:val="22"/>
          <w:szCs w:val="22"/>
          <w:rtl w:val="0"/>
        </w:rPr>
        <w:t xml:space="preserve">, 5 juillet 2016</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Monographie : </w:t>
      </w:r>
      <w:r w:rsidDel="00000000" w:rsidR="00000000" w:rsidRPr="00000000">
        <w:rPr>
          <w:rFonts w:ascii="Century Gothic" w:cs="Century Gothic" w:eastAsia="Century Gothic" w:hAnsi="Century Gothic"/>
          <w:sz w:val="22"/>
          <w:szCs w:val="22"/>
          <w:rtl w:val="0"/>
        </w:rPr>
        <w:t xml:space="preserve">Ritonavir (Norvir), Corporation AbbVie, Québec, Canada, 27 novembre 2017.</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Wason S, DiGiacinto JL, Davis MW. Clinically Significant Pharmacokinetic Interaction Between Colchicine</w:t>
      </w:r>
      <w:r w:rsidDel="00000000" w:rsidR="00000000" w:rsidRPr="00000000">
        <w:rPr>
          <w:rFonts w:ascii="MS Mincho" w:cs="MS Mincho" w:eastAsia="MS Mincho" w:hAnsi="MS Mincho"/>
          <w:b w:val="0"/>
          <w:i w:val="0"/>
          <w:smallCaps w:val="0"/>
          <w:strike w:val="0"/>
          <w:color w:val="000000"/>
          <w:sz w:val="22"/>
          <w:szCs w:val="22"/>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and Ritonavir in Healthy Volunteers. Clinical Medecine Insights: Therapeutics 2013; 5: 25-32. </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Finkelstein Y, Aks SE, Hutson JR et al. Colchicine poisonning : the dark side of an ancient drug. Clin Toxicol (Phila) 2010 Jun; 48(5): 407-14.</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U.S. Food </w:t>
      </w:r>
      <w:r w:rsidDel="00000000" w:rsidR="00000000" w:rsidRPr="00000000">
        <w:rPr>
          <w:rFonts w:ascii="Century Gothic" w:cs="Century Gothic" w:eastAsia="Century Gothic" w:hAnsi="Century Gothic"/>
          <w:b w:val="0"/>
          <w:i w:val="0"/>
          <w:smallCaps w:val="0"/>
          <w:strike w:val="0"/>
          <w:color w:val="1d1d1d"/>
          <w:sz w:val="22"/>
          <w:szCs w:val="22"/>
          <w:u w:val="none"/>
          <w:vertAlign w:val="baseline"/>
          <w:rtl w:val="0"/>
        </w:rPr>
        <w:t xml:space="preserve">and Drug Administration (FDA). </w:t>
      </w:r>
      <w:r w:rsidDel="00000000" w:rsidR="00000000" w:rsidRPr="00000000">
        <w:rPr>
          <w:rFonts w:ascii="Arial" w:cs="Arial" w:eastAsia="Arial" w:hAnsi="Arial"/>
          <w:color w:val="333333"/>
          <w:sz w:val="17"/>
          <w:szCs w:val="17"/>
          <w:rtl w:val="0"/>
        </w:rPr>
        <w:tab/>
      </w:r>
      <w:hyperlink r:id="rId6">
        <w:r w:rsidDel="00000000" w:rsidR="00000000" w:rsidRPr="00000000">
          <w:rPr>
            <w:rFonts w:ascii="Century Gothic" w:cs="Century Gothic" w:eastAsia="Century Gothic" w:hAnsi="Century Gothic"/>
            <w:color w:val="1d1d1d"/>
            <w:sz w:val="22"/>
            <w:szCs w:val="22"/>
            <w:rtl w:val="0"/>
          </w:rPr>
          <w:t xml:space="preserve">Postmarket Drug Safety Information for Patients and Providers : </w:t>
        </w:r>
      </w:hyperlink>
      <w:hyperlink r:id="rId7">
        <w:r w:rsidDel="00000000" w:rsidR="00000000" w:rsidRPr="00000000">
          <w:rPr>
            <w:rFonts w:ascii="Century Gothic" w:cs="Century Gothic" w:eastAsia="Century Gothic" w:hAnsi="Century Gothic"/>
            <w:color w:val="1d1d1d"/>
            <w:sz w:val="22"/>
            <w:szCs w:val="22"/>
            <w:rtl w:val="0"/>
          </w:rPr>
          <w:t xml:space="preserve">Colchicine (marketed as Colcrys) Information</w:t>
        </w:r>
      </w:hyperlink>
      <w:r w:rsidDel="00000000" w:rsidR="00000000" w:rsidRPr="00000000">
        <w:rPr>
          <w:rFonts w:ascii="Century Gothic" w:cs="Century Gothic" w:eastAsia="Century Gothic" w:hAnsi="Century Gothic"/>
          <w:color w:val="1d1d1d"/>
          <w:sz w:val="22"/>
          <w:szCs w:val="22"/>
          <w:rtl w:val="0"/>
        </w:rPr>
        <w:t xml:space="preserve">. </w:t>
      </w:r>
      <w:r w:rsidDel="00000000" w:rsidR="00000000" w:rsidRPr="00000000">
        <w:rPr>
          <w:rFonts w:ascii="Century Gothic" w:cs="Century Gothic" w:eastAsia="Century Gothic" w:hAnsi="Century Gothic"/>
          <w:b w:val="0"/>
          <w:i w:val="0"/>
          <w:smallCaps w:val="0"/>
          <w:strike w:val="0"/>
          <w:color w:val="1d1d1d"/>
          <w:sz w:val="22"/>
          <w:szCs w:val="22"/>
          <w:u w:val="none"/>
          <w:vertAlign w:val="baseline"/>
          <w:rtl w:val="0"/>
        </w:rPr>
        <w:t xml:space="preserve">juillet 2009. Disponible : </w:t>
      </w:r>
      <w:r w:rsidDel="00000000" w:rsidR="00000000" w:rsidRPr="00000000">
        <w:rPr>
          <w:rFonts w:ascii="Century Gothic" w:cs="Century Gothic" w:eastAsia="Century Gothic" w:hAnsi="Century Gothic"/>
          <w:color w:val="0000ff"/>
          <w:sz w:val="22"/>
          <w:szCs w:val="22"/>
          <w:rtl w:val="0"/>
        </w:rPr>
        <w:t xml:space="preserve">https://www.fda.gov/drugs/drugsafety/postmarketdrugsafetyinformationforpatientsandproviders/ucm174382.htm</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Guide thérapeutique VIH. [En ligne]. Disponible : </w:t>
      </w:r>
      <w:hyperlink r:id="rId8">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http://www.guidetherapeutiquevih.com</w:t>
        </w:r>
      </w:hyperlink>
      <w:r w:rsidDel="00000000" w:rsidR="00000000" w:rsidRPr="00000000">
        <w:rPr>
          <w:rtl w:val="0"/>
        </w:rPr>
      </w:r>
    </w:p>
    <w:p w:rsidR="00000000" w:rsidDel="00000000" w:rsidP="00000000" w:rsidRDefault="00000000" w:rsidRPr="00000000" w14:paraId="0000005C">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D">
      <w:pPr>
        <w:contextualSpacing w:val="0"/>
        <w:jc w:val="both"/>
        <w:rPr>
          <w:rFonts w:ascii="Century Gothic" w:cs="Century Gothic" w:eastAsia="Century Gothic" w:hAnsi="Century Gothic"/>
          <w:sz w:val="22"/>
          <w:szCs w:val="22"/>
        </w:rPr>
      </w:pPr>
      <w:r w:rsidDel="00000000" w:rsidR="00000000" w:rsidRPr="00000000">
        <w:rPr>
          <w:rtl w:val="0"/>
        </w:rPr>
      </w:r>
    </w:p>
    <w:sectPr>
      <w:footerReference r:id="rId9"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www.guidetherapeutiqueVIH.com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ab/>
      <w:tab/>
      <w:t xml:space="preserve">Septembre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da.gov/Drugs/DrugSafety/PostmarketDrugSafetyInformationforPatientsandProviders/default.htm" TargetMode="External"/><Relationship Id="rId7" Type="http://schemas.openxmlformats.org/officeDocument/2006/relationships/hyperlink" Target="https://www.fda.gov/Drugs/DrugSafety/PostmarketDrugSafetyInformationforPatientsandProviders/default.htm" TargetMode="External"/><Relationship Id="rId8" Type="http://schemas.openxmlformats.org/officeDocument/2006/relationships/hyperlink" Target="http://www.guidetherapeutiquevi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