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Opinion pharmaceutique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les antituberculeux et les antirétroviraux combinés au ritonavir ou au cobicistat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Patient(e) : _________________________</w:t>
        <w:tab/>
        <w:tab/>
        <w:tab/>
        <w:t xml:space="preserve">DDN : _____/_____/_____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Après avoir analysé le dossier de votre patient(e), j’ai relevé un problème relié à sa pharmacothérapie. 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Rifampicine (Rofact, Rifadin)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Rifabutine (Mycobutin)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Et 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Atazanavir/Cobicistat (Evotaz)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Darunavir/Cobicistat (Prezcobix)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Darunavir/Cobicistat/Emtricitabine/Ténofovir alafénamide (Symtuza)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Elvitégravir/Cobicistat/Emtricitabine/Ténofovir (Stribild, Genvoya)</w:t>
      </w:r>
    </w:p>
    <w:p w:rsidR="00000000" w:rsidDel="00000000" w:rsidP="00000000" w:rsidRDefault="00000000" w:rsidRPr="00000000" w14:paraId="00000012">
      <w:pPr>
        <w:ind w:left="360"/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Ritonavir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Atazanavir/Ritonavir (Reyataz/Norvir)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Darunavir/Ritonavir (Prezista/Norvir)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Lopinavir/Ritonavir (Kaletra)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Une réduction de l’efficacité des antirétroviraux nommés ci-haut peut survenir lors de l’administration concomitante avec la rifampicine ou la rifabutine.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D’un autre côté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, une augmentation de la toxicité de la rifabutine peuvent survenir lorsqu’administrée avec un antirétroviral nommé ci-haut. Voici pourquoi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1-8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rifampicine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est un inducteur puissant des cytochromes (CYP) 3A4, de l’UGT et du transporteur P-glycoprotéine (P-gp). La rifabutine est un inducteur modéré du CYP3A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Les antirétroviraux mentionnés ci-haut sont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des substrats du CYP3A4,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 l’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UGT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et/ou de la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P-gp.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Cette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induction peut diminuer de fa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çon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significativ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 concentration plasmatique de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 antirétroviraux nommés ci-haut,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entraînant ainsi une perte de l’efficacité clinique.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D’un autre côté, le cobicistat et le ritonavir sont des inhibiteurs du CYP 3A4.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6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La r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ifabutine est un substrat de ce CYP.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6"/>
        </w:numPr>
        <w:ind w:left="144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Cette inhibition augmenterait la concentration plasmatique et le risque de toxicité de la rifabutine. </w:t>
      </w:r>
    </w:p>
    <w:p w:rsidR="00000000" w:rsidDel="00000000" w:rsidP="00000000" w:rsidRDefault="00000000" w:rsidRPr="00000000" w14:paraId="0000001E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Pour de plus amples informations, voici des études évaluant les interactions ci-haut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5"/>
        </w:numPr>
        <w:ind w:left="72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Rifampicine + association d’inhibiteurs de la protéase avec ritonavir : ↓ de plus de 75% de la surface sous la courbe (SCC) des inhibiteurs de la protéase mentionnés ci-haut.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8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L’association rifampicine et les IP est contre-indiquée.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5"/>
        </w:numPr>
        <w:ind w:left="72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Rifabutine + association d’inhibiteurs de la protéases avec ritonavir  : ↑ de la SSC de la rifabutine de 4 fois.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4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 ajustement de la dose de la rifabutine à 150 mg 3 fois par semaine ou une fois par jour est suggéré.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5"/>
        </w:numPr>
        <w:ind w:left="144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Rifabutine + inhibiteurs de la protéase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 certaines études effectuées chez des sujets co-infectés avec le VIH et la tuberculose ont démontrées que la dose de rifabutine de 150 mg 3 fois/semaine était insuffisante pour certains sujets. Ainsi, les lignes directrices américaines suggèrent l’utilisation de la rifabutine à une dose de 150 mg DIE lorsque donnée en combinaison avec un antirétroviral nommé ci-haut.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5"/>
        </w:numPr>
        <w:ind w:left="72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  <w:vertAlign w:val="superscript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Rifabutine 150 mg q 2 jours + elvitégravir/cobicistat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150 mg/150 m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 : ↓ de la concentration du cobicistat et de la Cmin de l’elvitégravir. Cette association n’est pas recommandée.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shd w:fill="fce5cd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Options thérapeutiques possibles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1, 2, 3, 4, 5, 8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 : </w:t>
      </w:r>
    </w:p>
    <w:p w:rsidR="00000000" w:rsidDel="00000000" w:rsidP="00000000" w:rsidRDefault="00000000" w:rsidRPr="00000000" w14:paraId="00000026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Rifampicine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contextualSpacing w:val="0"/>
        <w:jc w:val="left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*Rifampicine est contre-indiqué avec les antirétroviraux mentionnés ci-haut*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7"/>
        </w:numPr>
        <w:ind w:left="720" w:hanging="360"/>
        <w:contextualSpacing w:val="1"/>
        <w:jc w:val="left"/>
        <w:rPr>
          <w:rFonts w:ascii="Century Gothic" w:cs="Century Gothic" w:eastAsia="Century Gothic" w:hAnsi="Century Gothic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Envisager la rifabutine sauf pour les combinaisons avec le cobicistat. Voir recommandations pour l’ajustement de la dose de rifabutine.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contextualSpacing w:val="0"/>
        <w:jc w:val="center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Rifabutine + IP/ritonavir</w:t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la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rifabutine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est ajoutée à une thérapie antirétrovirale déjà existante.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ind w:left="720" w:hanging="360"/>
        <w:contextualSpacing w:val="1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Association à éviter si possible. Si association nécessaire, débuter la rifabutine à une dose de 150 mg 3 fois semaines ou 150 mg DIE et effectuer un suivi étroit des effets secondaires reliés à la rifabutine.</w:t>
      </w:r>
    </w:p>
    <w:p w:rsidR="00000000" w:rsidDel="00000000" w:rsidP="00000000" w:rsidRDefault="00000000" w:rsidRPr="00000000" w14:paraId="0000002E">
      <w:pPr>
        <w:ind w:left="72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NB: les monographies suggèrent de diminuer la dose à 150 mg  3 fois semaines mais les lignes directrices américaines recommandent de donner 150 mg DIE pour éviter le risque de résistance.</w:t>
      </w:r>
    </w:p>
    <w:p w:rsidR="00000000" w:rsidDel="00000000" w:rsidP="00000000" w:rsidRDefault="00000000" w:rsidRPr="00000000" w14:paraId="0000002F">
      <w:pPr>
        <w:ind w:left="72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le patient est déjà sous rifabutine et que la thérapie antirétrovirale est débutée.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ind w:left="720" w:hanging="360"/>
        <w:contextualSpacing w:val="1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Association à éviter si possible. Si association nécessaire, diminuer la dose actuelle de rifabutine à 150 mg DIE et effectuer un suivi étroit des effets secondaires reliés à la rifabutine.</w:t>
      </w:r>
    </w:p>
    <w:p w:rsidR="00000000" w:rsidDel="00000000" w:rsidP="00000000" w:rsidRDefault="00000000" w:rsidRPr="00000000" w14:paraId="00000032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la combinaison antirétroviral + rifabutine à une dose donnée est actuellement bien tolérée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ind w:left="72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Diminuer la dose actuelle de rifabutine à 150 mg DIE et effectuer un suivi étroit des effets secondaires reliés à la rifabutine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5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Rifabutine + IP/cobicistat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Éviter cette association car il n’existe pas de données pharmacocinétiques.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l’association ne peut être évitée, donner lla rifabutine à une dose de 150 mg 3 fois semaines ou 150 mg DIE, effectuer un dosage plasmatique de l’IP et effectuer un suivi étroit des effets secondaires reliés à la rifabutine.</w:t>
      </w:r>
    </w:p>
    <w:p w:rsidR="00000000" w:rsidDel="00000000" w:rsidP="00000000" w:rsidRDefault="00000000" w:rsidRPr="00000000" w14:paraId="00000039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Stribild/Genvoya + rifampicine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Rifampicine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contre-indiquée avec Stribild/Genvoya/Isentress HD*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Substituer  par Dolutégravir 50 mg BID.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Substituer par Raltégravir (Isentress) 800 mg BID.</w:t>
      </w:r>
    </w:p>
    <w:p w:rsidR="00000000" w:rsidDel="00000000" w:rsidP="00000000" w:rsidRDefault="00000000" w:rsidRPr="00000000" w14:paraId="0000003E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Stribild/Genvoya + rifabutine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*Rifabutine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n’est pas recommandée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avec Stribild/Genvoya*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Substituer par Dolutégravir 50 mg DIE.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Substituer par Raltégravir (Isentress) 400 mg BID ou Isentress HD 1200 mg DIE.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IP combiné ritonavir + rifampicine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Substituer rifampicine par Rifabutine 150 mg  DIE.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IP combiné cobicistat + rifampicine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Choisir de combiner l’inhibiteur de la protéase avec le ritonavir et utiliser la rifabutine à 150 mg DIE.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Substituer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rifampicine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par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ifabutine 150 mg  DIE. Effectuer un dosage plasmatique d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 l’IP.</w:t>
      </w:r>
    </w:p>
    <w:p w:rsidR="00000000" w:rsidDel="00000000" w:rsidP="00000000" w:rsidRDefault="00000000" w:rsidRPr="00000000" w14:paraId="0000004B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IP combiné ritonavir + rifabutine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Diminuer la dose de la rifabutine à 150 mg DIE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Solution de rechange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Dolutégravir 50 mg DIE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Raltégravir (Isentress) 400 mg BID ou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gravir (Isentress HD) 1200 mg DIE.</w:t>
      </w:r>
    </w:p>
    <w:p w:rsidR="00000000" w:rsidDel="00000000" w:rsidP="00000000" w:rsidRDefault="00000000" w:rsidRPr="00000000" w14:paraId="00000052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Suivi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4, 5, 8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 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Surveiller l’efficacité et les effets indésirables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 la rifabutine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(ex : do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sage des concentrations sériques de la rifabutine,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éruptions cutanées, anorexie, nausées, insomnie, neutropénie, thrombocytopénie, arthralgie, uvéite, augmentation des transaminases hépatiques, etc.)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Suggestion de la pharmacie ou nouvelle prescription</w:t>
      </w:r>
    </w:p>
    <w:p w:rsidR="00000000" w:rsidDel="00000000" w:rsidP="00000000" w:rsidRDefault="00000000" w:rsidRPr="00000000" w14:paraId="0000006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c>
          <w:tcPr/>
          <w:p w:rsidR="00000000" w:rsidDel="00000000" w:rsidP="00000000" w:rsidRDefault="00000000" w:rsidRPr="00000000" w14:paraId="0000006D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Date : _____/_____/_____</w:t>
            </w:r>
          </w:p>
          <w:p w:rsidR="00000000" w:rsidDel="00000000" w:rsidP="00000000" w:rsidRDefault="00000000" w:rsidRPr="00000000" w14:paraId="0000006E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Patient(e) : ________________________          DDN : _____/_____/_____</w:t>
            </w:r>
          </w:p>
          <w:p w:rsidR="00000000" w:rsidDel="00000000" w:rsidP="00000000" w:rsidRDefault="00000000" w:rsidRPr="00000000" w14:paraId="0000006F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 Téléphone : 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Rx : </w:t>
            </w:r>
          </w:p>
          <w:p w:rsidR="00000000" w:rsidDel="00000000" w:rsidP="00000000" w:rsidRDefault="00000000" w:rsidRPr="00000000" w14:paraId="00000071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Renouvellements : _____</w:t>
            </w:r>
          </w:p>
          <w:p w:rsidR="00000000" w:rsidDel="00000000" w:rsidP="00000000" w:rsidRDefault="00000000" w:rsidRPr="00000000" w14:paraId="00000076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Médecin : __________     Numéro de pratique : __________    Signature : __________</w:t>
            </w:r>
          </w:p>
          <w:p w:rsidR="00000000" w:rsidDel="00000000" w:rsidP="00000000" w:rsidRDefault="00000000" w:rsidRPr="00000000" w14:paraId="0000007A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Adresse : ____________________________________________</w:t>
            </w:r>
          </w:p>
          <w:p w:rsidR="00000000" w:rsidDel="00000000" w:rsidP="00000000" w:rsidRDefault="00000000" w:rsidRPr="00000000" w14:paraId="0000007B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#Téléphone : ____________________     #Télécopieur : ________________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contextualSpacing w:val="0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Certification du prescripteur </w:t>
            </w:r>
          </w:p>
          <w:p w:rsidR="00000000" w:rsidDel="00000000" w:rsidP="00000000" w:rsidRDefault="00000000" w:rsidRPr="00000000" w14:paraId="0000007D">
            <w:pPr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 certifie que :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cette ordonnance est une ordonnance originale,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le pharmacien identifié précité est le seul destinataire,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l’original ne sera pas réutilisé.</w:t>
            </w:r>
          </w:p>
        </w:tc>
      </w:tr>
    </w:tbl>
    <w:p w:rsidR="00000000" w:rsidDel="00000000" w:rsidP="00000000" w:rsidRDefault="00000000" w:rsidRPr="00000000" w14:paraId="00000081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Veuillez svp nous faire parvenir une copie de cette page avec votre conduite à tenir. </w:t>
      </w:r>
    </w:p>
    <w:p w:rsidR="00000000" w:rsidDel="00000000" w:rsidP="00000000" w:rsidRDefault="00000000" w:rsidRPr="00000000" w14:paraId="00000083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vous avez besoin d’information complémentaire, n’hésitez pas à communiquer avec moi. </w:t>
      </w:r>
    </w:p>
    <w:p w:rsidR="00000000" w:rsidDel="00000000" w:rsidP="00000000" w:rsidRDefault="00000000" w:rsidRPr="00000000" w14:paraId="0000008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Cordialement, </w:t>
      </w:r>
    </w:p>
    <w:p w:rsidR="00000000" w:rsidDel="00000000" w:rsidP="00000000" w:rsidRDefault="00000000" w:rsidRPr="00000000" w14:paraId="0000008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Pharmacien(ne) : ____________________</w:t>
        <w:tab/>
        <w:t xml:space="preserve">Pharmacie : ____________________</w:t>
      </w:r>
    </w:p>
    <w:p w:rsidR="00000000" w:rsidDel="00000000" w:rsidP="00000000" w:rsidRDefault="00000000" w:rsidRPr="00000000" w14:paraId="0000008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#Téléphone : ____________________</w:t>
        <w:tab/>
        <w:t xml:space="preserve">#Télécopieur : ____________________</w:t>
      </w:r>
    </w:p>
    <w:p w:rsidR="00000000" w:rsidDel="00000000" w:rsidP="00000000" w:rsidRDefault="00000000" w:rsidRPr="00000000" w14:paraId="0000008A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Références : </w:t>
      </w:r>
    </w:p>
    <w:p w:rsidR="00000000" w:rsidDel="00000000" w:rsidP="00000000" w:rsidRDefault="00000000" w:rsidRPr="00000000" w14:paraId="0000008D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 : Elvitégravir/cobicistat/emtricitabine/ténofovir disoproxil fumarate (Stribild), Gilead Sciences, Ontario, 12 avril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 : Ritonavir (Norvir), Corporation AbbVie, Québec, Canada, 27 novembre 2017.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rifampicine (Rifadin), Sanofi-Aventis, Québec, Canada, 11 août 2017.</w:t>
      </w:r>
    </w:p>
    <w:p w:rsidR="00000000" w:rsidDel="00000000" w:rsidP="00000000" w:rsidRDefault="00000000" w:rsidRPr="00000000" w14:paraId="00000091">
      <w:pPr>
        <w:numPr>
          <w:ilvl w:val="0"/>
          <w:numId w:val="11"/>
        </w:numPr>
        <w:ind w:left="72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Rifabutine (Mycobutin), Pfizer, Québec, Canada, 23 janvier 2015.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Center for disease control and prevention. Managing drug interactions in the treatment of HIV-related tuberculosis. Disponible :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vertAlign w:val="baseline"/>
            <w:rtl w:val="0"/>
          </w:rPr>
          <w:t xml:space="preserve">http://www.cdc.gov/tb/publications/guidelines/tb_hiv_drugs/recommandations03.htm</w:t>
        </w:r>
      </w:hyperlink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Publié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en juin 2013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Consulté le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20 juillet 2018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Ramanathan S, Wang H, Stondell T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et al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.. Pharmacokinetics and drug interaction profile of cobicistat boosted-elvitegravir with atazanavir, rosuvastatin or rifabutin. 13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international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w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orkshop on clinical pharmacology of HIV therapy,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16-18 avril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2012, Barcelo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Espagne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Résumé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O_03.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Regazzi M, Carvalho AC, Villani P et Matteelli A. Treatment optimization in p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atient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co-infected with HIV and mycobacterium tuberculosis infections : focus on dr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g-drug interactions with rifamycins. Clin pharmacokinet 2014; 53(6):489-507.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Guide thérapeutique VIH. [En ligne]. Disponible 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ff"/>
          <w:sz w:val="22"/>
          <w:szCs w:val="22"/>
          <w:u w:val="none"/>
          <w:vertAlign w:val="baseline"/>
          <w:rtl w:val="0"/>
        </w:rPr>
        <w:t xml:space="preserve">http://www.guidetherapeutiquevih.com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www.guidetherapeutiqueVIH.com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  <w:t xml:space="preserve">                                                                              Septembre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201</w:t>
    </w:r>
    <w:r w:rsidDel="00000000" w:rsidR="00000000" w:rsidRPr="00000000">
      <w:rPr>
        <w:rtl w:val="0"/>
      </w:rPr>
      <w:t xml:space="preserve">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hd w:fill="auto" w:val="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dc.gov/tb/publications/guidelines/tb_hiv_drugs/recommandations03.ht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