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0D4348">
        <w:rPr>
          <w:rFonts w:eastAsia="Century Gothic"/>
          <w:b/>
          <w:lang w:val="fr-CA"/>
        </w:rPr>
        <w:t xml:space="preserve">Interaction </w:t>
      </w:r>
      <w:r w:rsidR="000D4348" w:rsidRPr="000D4348">
        <w:rPr>
          <w:rFonts w:eastAsia="Century Gothic"/>
          <w:b/>
          <w:lang w:val="fr-CA"/>
        </w:rPr>
        <w:t xml:space="preserve">entre les agents modifiant le pH gastrique </w:t>
      </w:r>
      <w:r w:rsidR="00251915" w:rsidRPr="00251915">
        <w:rPr>
          <w:rFonts w:eastAsia="Century Gothic"/>
          <w:b/>
          <w:lang w:val="fr-CA"/>
        </w:rPr>
        <w:t>et les anti-VHC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C46A5A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B906ED" w:rsidRDefault="00C46A5A" w:rsidP="00B906ED">
      <w:pPr>
        <w:ind w:left="720"/>
        <w:rPr>
          <w:color w:val="000000"/>
          <w:lang w:val="fr-CA"/>
        </w:rPr>
      </w:pPr>
      <w:proofErr w:type="spellStart"/>
      <w:r w:rsidRPr="00C46A5A">
        <w:rPr>
          <w:b/>
          <w:lang w:val="fr-CA"/>
        </w:rPr>
        <w:t>Lédispavir</w:t>
      </w:r>
      <w:proofErr w:type="spellEnd"/>
      <w:r w:rsidRPr="00C46A5A">
        <w:rPr>
          <w:b/>
          <w:lang w:val="fr-CA"/>
        </w:rPr>
        <w:t xml:space="preserve"> / </w:t>
      </w:r>
      <w:proofErr w:type="spellStart"/>
      <w:r w:rsidRPr="00C46A5A">
        <w:rPr>
          <w:b/>
          <w:lang w:val="fr-CA"/>
        </w:rPr>
        <w:t>Sofosbuvir</w:t>
      </w:r>
      <w:proofErr w:type="spellEnd"/>
      <w:r w:rsidRPr="00C46A5A">
        <w:rPr>
          <w:b/>
          <w:lang w:val="fr-CA"/>
        </w:rPr>
        <w:t xml:space="preserve"> (</w:t>
      </w:r>
      <w:proofErr w:type="spellStart"/>
      <w:r w:rsidRPr="00C46A5A">
        <w:rPr>
          <w:b/>
          <w:lang w:val="fr-CA"/>
        </w:rPr>
        <w:t>Harvoni</w:t>
      </w:r>
      <w:proofErr w:type="spellEnd"/>
      <w:r w:rsidRPr="00C46A5A">
        <w:rPr>
          <w:b/>
          <w:lang w:val="fr-CA"/>
        </w:rPr>
        <w:t>)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FB3328" w:rsidRPr="00B906ED">
        <w:rPr>
          <w:b/>
          <w:color w:val="000000"/>
          <w:lang w:val="fr-CA"/>
        </w:rPr>
        <w:t>et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Pr="000D4348" w:rsidRDefault="000D4348" w:rsidP="00B906ED">
      <w:pPr>
        <w:ind w:left="720"/>
        <w:rPr>
          <w:color w:val="000000"/>
          <w:lang w:val="fr-CA"/>
        </w:rPr>
      </w:pPr>
      <w:r w:rsidRPr="000D4348">
        <w:rPr>
          <w:b/>
          <w:lang w:val="fr-CA"/>
        </w:rPr>
        <w:t>Antiacide</w:t>
      </w:r>
      <w:r>
        <w:rPr>
          <w:b/>
          <w:lang w:val="fr-CA"/>
        </w:rPr>
        <w:t>s</w:t>
      </w:r>
      <w:r w:rsidRPr="000D4348">
        <w:rPr>
          <w:b/>
          <w:lang w:val="fr-CA"/>
        </w:rPr>
        <w:t xml:space="preserve">: </w:t>
      </w:r>
      <w:r w:rsidRPr="000D4348">
        <w:rPr>
          <w:lang w:val="fr-CA"/>
        </w:rPr>
        <w:t>Al(OH</w:t>
      </w:r>
      <w:proofErr w:type="gramStart"/>
      <w:r w:rsidRPr="000D4348">
        <w:rPr>
          <w:lang w:val="fr-CA"/>
        </w:rPr>
        <w:t>)</w:t>
      </w:r>
      <w:r w:rsidRPr="000D4348">
        <w:rPr>
          <w:vertAlign w:val="subscript"/>
          <w:lang w:val="fr-CA"/>
        </w:rPr>
        <w:t>3</w:t>
      </w:r>
      <w:proofErr w:type="gramEnd"/>
      <w:r w:rsidRPr="000D4348">
        <w:rPr>
          <w:lang w:val="fr-CA"/>
        </w:rPr>
        <w:t xml:space="preserve"> et/ou Mg(OH)</w:t>
      </w:r>
      <w:r w:rsidRPr="000D4348">
        <w:rPr>
          <w:vertAlign w:val="subscript"/>
          <w:lang w:val="fr-CA"/>
        </w:rPr>
        <w:t>2</w:t>
      </w:r>
      <w:r w:rsidRPr="000D4348">
        <w:rPr>
          <w:lang w:val="fr-CA"/>
        </w:rPr>
        <w:t xml:space="preserve"> (</w:t>
      </w:r>
      <w:proofErr w:type="spellStart"/>
      <w:r w:rsidRPr="000D4348">
        <w:rPr>
          <w:lang w:val="fr-CA"/>
        </w:rPr>
        <w:t>Almagel</w:t>
      </w:r>
      <w:proofErr w:type="spellEnd"/>
      <w:r w:rsidRPr="000D4348">
        <w:rPr>
          <w:lang w:val="fr-CA"/>
        </w:rPr>
        <w:t xml:space="preserve">, </w:t>
      </w:r>
      <w:proofErr w:type="spellStart"/>
      <w:r w:rsidRPr="000D4348">
        <w:rPr>
          <w:lang w:val="fr-CA"/>
        </w:rPr>
        <w:t>Diovol</w:t>
      </w:r>
      <w:proofErr w:type="spellEnd"/>
      <w:r w:rsidRPr="000D4348">
        <w:rPr>
          <w:lang w:val="fr-CA"/>
        </w:rPr>
        <w:t>), CaCO</w:t>
      </w:r>
      <w:r w:rsidRPr="000D4348">
        <w:rPr>
          <w:vertAlign w:val="subscript"/>
          <w:lang w:val="fr-CA"/>
        </w:rPr>
        <w:t>3</w:t>
      </w:r>
      <w:r w:rsidRPr="000D4348">
        <w:rPr>
          <w:lang w:val="fr-CA"/>
        </w:rPr>
        <w:t xml:space="preserve"> (</w:t>
      </w:r>
      <w:proofErr w:type="spellStart"/>
      <w:r w:rsidRPr="000D4348">
        <w:rPr>
          <w:lang w:val="fr-CA"/>
        </w:rPr>
        <w:t>Tums</w:t>
      </w:r>
      <w:proofErr w:type="spellEnd"/>
      <w:r w:rsidRPr="000D4348">
        <w:rPr>
          <w:lang w:val="fr-CA"/>
        </w:rPr>
        <w:t>), NaHCO</w:t>
      </w:r>
      <w:r w:rsidRPr="000D4348">
        <w:rPr>
          <w:vertAlign w:val="subscript"/>
          <w:lang w:val="fr-CA"/>
        </w:rPr>
        <w:t>3</w:t>
      </w:r>
      <w:r w:rsidRPr="000D4348">
        <w:rPr>
          <w:lang w:val="fr-CA"/>
        </w:rPr>
        <w:t xml:space="preserve"> (Alka-</w:t>
      </w:r>
      <w:proofErr w:type="spellStart"/>
      <w:r w:rsidRPr="000D4348">
        <w:rPr>
          <w:lang w:val="fr-CA"/>
        </w:rPr>
        <w:t>Seltzer</w:t>
      </w:r>
      <w:proofErr w:type="spellEnd"/>
      <w:r w:rsidRPr="000D4348">
        <w:rPr>
          <w:lang w:val="fr-CA"/>
        </w:rPr>
        <w:t>)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0D4348" w:rsidRPr="00C73702" w:rsidRDefault="00251915" w:rsidP="000D4348">
      <w:pPr>
        <w:widowControl w:val="0"/>
        <w:rPr>
          <w:rFonts w:eastAsia="Century Gothic"/>
          <w:color w:val="000000"/>
          <w:lang w:val="fr-CA"/>
        </w:rPr>
      </w:pPr>
      <w:r w:rsidRPr="00B50B31">
        <w:rPr>
          <w:rFonts w:eastAsia="Century Gothic"/>
          <w:b/>
          <w:lang w:val="fr-CA"/>
        </w:rPr>
        <w:t xml:space="preserve">Mécanisme d’interaction : </w:t>
      </w:r>
      <w:r w:rsidR="000D4348" w:rsidRPr="00C73702">
        <w:rPr>
          <w:rFonts w:eastAsia="Century Gothic"/>
          <w:color w:val="000000"/>
          <w:lang w:val="fr-CA"/>
        </w:rPr>
        <w:t xml:space="preserve">Les antiacides augmentent le pH gastrique. La solubilité, l'absorption et la concentration plasmatique du </w:t>
      </w:r>
      <w:proofErr w:type="spellStart"/>
      <w:r w:rsidR="000D4348" w:rsidRPr="00C73702">
        <w:rPr>
          <w:rFonts w:eastAsia="Century Gothic"/>
          <w:color w:val="000000"/>
          <w:lang w:val="fr-CA"/>
        </w:rPr>
        <w:t>lédipasvir</w:t>
      </w:r>
      <w:proofErr w:type="spellEnd"/>
      <w:r w:rsidR="000D4348" w:rsidRPr="00C73702">
        <w:rPr>
          <w:rFonts w:eastAsia="Century Gothic"/>
          <w:color w:val="000000"/>
          <w:lang w:val="fr-CA"/>
        </w:rPr>
        <w:t xml:space="preserve"> peuvent être diminuées.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>Ceci</w:t>
      </w:r>
      <w:r w:rsidRPr="00C73702">
        <w:rPr>
          <w:rFonts w:eastAsia="Century Gothic"/>
          <w:color w:val="000000"/>
          <w:lang w:val="fr-CA"/>
        </w:rPr>
        <w:t xml:space="preserve"> peut donc diminuer de fa</w:t>
      </w:r>
      <w:r w:rsidRPr="00C73702">
        <w:rPr>
          <w:rFonts w:eastAsia="Century Gothic"/>
          <w:lang w:val="fr-CA"/>
        </w:rPr>
        <w:t xml:space="preserve">çon </w:t>
      </w:r>
      <w:r w:rsidRPr="00C73702">
        <w:rPr>
          <w:rFonts w:eastAsia="Century Gothic"/>
          <w:color w:val="000000"/>
          <w:lang w:val="fr-CA"/>
        </w:rPr>
        <w:t>significativ</w:t>
      </w:r>
      <w:r w:rsidRPr="00C73702">
        <w:rPr>
          <w:rFonts w:eastAsia="Century Gothic"/>
          <w:lang w:val="fr-CA"/>
        </w:rPr>
        <w:t xml:space="preserve">e </w:t>
      </w:r>
      <w:r w:rsidRPr="00C73702">
        <w:rPr>
          <w:rFonts w:eastAsia="Century Gothic"/>
          <w:color w:val="000000"/>
          <w:lang w:val="fr-CA"/>
        </w:rPr>
        <w:t>l’efficacité de certains</w:t>
      </w:r>
      <w:r w:rsidRPr="00C73702">
        <w:rPr>
          <w:rFonts w:eastAsia="Century Gothic"/>
          <w:lang w:val="fr-CA"/>
        </w:rPr>
        <w:t xml:space="preserve"> anti-VHC.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fr-CA"/>
        </w:rPr>
      </w:pPr>
    </w:p>
    <w:p w:rsidR="000D4348" w:rsidRPr="00E50215" w:rsidRDefault="00C46A5A" w:rsidP="000D4348">
      <w:pPr>
        <w:jc w:val="center"/>
        <w:rPr>
          <w:rFonts w:eastAsia="Century Gothic"/>
          <w:i/>
          <w:lang w:val="fr-CA"/>
        </w:rPr>
      </w:pPr>
      <w:bookmarkStart w:id="0" w:name="bmAutoText1"/>
      <w:proofErr w:type="spellStart"/>
      <w:r w:rsidRPr="00C46A5A">
        <w:rPr>
          <w:rFonts w:eastAsia="Century Gothic"/>
          <w:b/>
          <w:bCs/>
          <w:i/>
          <w:lang w:val="fr-CA"/>
        </w:rPr>
        <w:t>Lédispavir</w:t>
      </w:r>
      <w:proofErr w:type="spellEnd"/>
      <w:r w:rsidRPr="00C46A5A">
        <w:rPr>
          <w:rFonts w:eastAsia="Century Gothic"/>
          <w:b/>
          <w:bCs/>
          <w:i/>
          <w:lang w:val="fr-CA"/>
        </w:rPr>
        <w:t xml:space="preserve"> / </w:t>
      </w:r>
      <w:proofErr w:type="spellStart"/>
      <w:r w:rsidRPr="00C46A5A">
        <w:rPr>
          <w:rFonts w:eastAsia="Century Gothic"/>
          <w:b/>
          <w:bCs/>
          <w:i/>
          <w:lang w:val="fr-CA"/>
        </w:rPr>
        <w:t>Sofosbuvir</w:t>
      </w:r>
      <w:proofErr w:type="spellEnd"/>
      <w:r w:rsidRPr="00C46A5A">
        <w:rPr>
          <w:rFonts w:eastAsia="Century Gothic"/>
          <w:b/>
          <w:bCs/>
          <w:i/>
          <w:lang w:val="fr-CA"/>
        </w:rPr>
        <w:t xml:space="preserve"> (</w:t>
      </w:r>
      <w:proofErr w:type="spellStart"/>
      <w:r w:rsidRPr="00C46A5A">
        <w:rPr>
          <w:rFonts w:eastAsia="Century Gothic"/>
          <w:b/>
          <w:bCs/>
          <w:i/>
          <w:lang w:val="fr-CA"/>
        </w:rPr>
        <w:t>Harvoni</w:t>
      </w:r>
      <w:proofErr w:type="spellEnd"/>
      <w:r w:rsidRPr="00C46A5A">
        <w:rPr>
          <w:rFonts w:eastAsia="Century Gothic"/>
          <w:b/>
          <w:bCs/>
          <w:i/>
          <w:lang w:val="fr-CA"/>
        </w:rPr>
        <w:t>)</w:t>
      </w:r>
      <w:r w:rsidR="000D4348" w:rsidRPr="00E50215">
        <w:rPr>
          <w:rFonts w:eastAsia="Century Gothic"/>
          <w:b/>
          <w:bCs/>
          <w:i/>
          <w:lang w:val="fr-CA"/>
        </w:rPr>
        <w:t xml:space="preserve"> et antiacides</w:t>
      </w:r>
      <w:r w:rsidR="000D4348" w:rsidRPr="00E50215">
        <w:rPr>
          <w:rFonts w:eastAsia="Century Gothic"/>
          <w:i/>
          <w:lang w:val="fr-CA"/>
        </w:rPr>
        <w:t> </w:t>
      </w:r>
      <w:r w:rsidR="000D4348" w:rsidRPr="00E50215">
        <w:rPr>
          <w:rFonts w:eastAsia="Century Gothic"/>
          <w:b/>
          <w:i/>
          <w:lang w:val="fr-CA"/>
        </w:rPr>
        <w:t xml:space="preserve">: </w:t>
      </w:r>
    </w:p>
    <w:p w:rsidR="000D4348" w:rsidRPr="00E50215" w:rsidRDefault="000D4348" w:rsidP="000D4348">
      <w:pPr>
        <w:rPr>
          <w:rFonts w:eastAsia="Century Gothic"/>
          <w:lang w:val="fr-CA"/>
        </w:rPr>
      </w:pPr>
    </w:p>
    <w:p w:rsidR="000D4348" w:rsidRPr="00E50215" w:rsidRDefault="000D4348" w:rsidP="000D4348">
      <w:pPr>
        <w:rPr>
          <w:rFonts w:eastAsia="Century Gothic"/>
          <w:lang w:val="fr-CA"/>
        </w:rPr>
      </w:pPr>
      <w:r w:rsidRPr="00E50215">
        <w:rPr>
          <w:rFonts w:eastAsia="Century Gothic"/>
          <w:u w:val="single"/>
          <w:lang w:val="fr-CA"/>
        </w:rPr>
        <w:t xml:space="preserve">Information supplémentaire </w:t>
      </w:r>
      <w:proofErr w:type="gramStart"/>
      <w:r w:rsidRPr="00E50215">
        <w:rPr>
          <w:rFonts w:eastAsia="Century Gothic"/>
          <w:u w:val="single"/>
          <w:lang w:val="fr-CA"/>
        </w:rPr>
        <w:t>:</w:t>
      </w:r>
      <w:proofErr w:type="gramEnd"/>
      <w:r w:rsidRPr="00E50215">
        <w:rPr>
          <w:rFonts w:eastAsia="Century Gothic"/>
          <w:u w:val="single"/>
          <w:lang w:val="fr-CA"/>
        </w:rPr>
        <w:br/>
      </w:r>
      <w:r w:rsidRPr="00E50215">
        <w:rPr>
          <w:rFonts w:eastAsia="Century Gothic"/>
          <w:bCs/>
          <w:lang w:val="fr-CA"/>
        </w:rPr>
        <w:t xml:space="preserve">Aucune étude sur l’interaction </w:t>
      </w:r>
      <w:proofErr w:type="spellStart"/>
      <w:r w:rsidR="00C46A5A" w:rsidRPr="00C46A5A">
        <w:rPr>
          <w:rFonts w:eastAsia="Century Gothic"/>
          <w:bCs/>
          <w:lang w:val="fr-CA"/>
        </w:rPr>
        <w:t>Lédispavir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/ </w:t>
      </w:r>
      <w:proofErr w:type="spellStart"/>
      <w:r w:rsidR="00C46A5A" w:rsidRPr="00C46A5A">
        <w:rPr>
          <w:rFonts w:eastAsia="Century Gothic"/>
          <w:bCs/>
          <w:lang w:val="fr-CA"/>
        </w:rPr>
        <w:t>Sofosbuvir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(</w:t>
      </w:r>
      <w:proofErr w:type="spellStart"/>
      <w:r w:rsidR="00C46A5A" w:rsidRPr="00C46A5A">
        <w:rPr>
          <w:rFonts w:eastAsia="Century Gothic"/>
          <w:bCs/>
          <w:lang w:val="fr-CA"/>
        </w:rPr>
        <w:t>Harvoni</w:t>
      </w:r>
      <w:proofErr w:type="spellEnd"/>
      <w:r w:rsidR="00C46A5A" w:rsidRPr="00C46A5A">
        <w:rPr>
          <w:rFonts w:eastAsia="Century Gothic"/>
          <w:bCs/>
          <w:lang w:val="fr-CA"/>
        </w:rPr>
        <w:t>)</w:t>
      </w:r>
      <w:r w:rsidRPr="00E50215">
        <w:rPr>
          <w:rFonts w:eastAsia="Century Gothic"/>
          <w:bCs/>
          <w:lang w:val="fr-CA"/>
        </w:rPr>
        <w:t xml:space="preserve"> et les antiacides n’est disponible. La monographie recommande d’espacer l’administration des anti-VHC et des antiacides de 4h.</w:t>
      </w:r>
    </w:p>
    <w:p w:rsidR="000D4348" w:rsidRDefault="000D4348" w:rsidP="000D4348">
      <w:pPr>
        <w:rPr>
          <w:rFonts w:eastAsia="Century Gothic"/>
          <w:rtl/>
        </w:rPr>
      </w:pPr>
    </w:p>
    <w:p w:rsidR="000D4348" w:rsidRPr="00E50215" w:rsidRDefault="000D4348" w:rsidP="000D4348">
      <w:pPr>
        <w:rPr>
          <w:rFonts w:eastAsia="Century Gothic"/>
          <w:lang w:val="fr-CA"/>
        </w:rPr>
      </w:pPr>
      <w:r w:rsidRPr="00E50215">
        <w:rPr>
          <w:rFonts w:eastAsia="Century Gothic"/>
          <w:u w:val="single"/>
          <w:lang w:val="fr-CA"/>
        </w:rPr>
        <w:t>Options thérapeutiques possibles (Antiacides) :</w:t>
      </w:r>
      <w:r w:rsidRPr="00E50215">
        <w:rPr>
          <w:rFonts w:eastAsia="Century Gothic"/>
          <w:lang w:val="fr-CA"/>
        </w:rPr>
        <w:t xml:space="preserve">    </w:t>
      </w:r>
      <w:r w:rsidRPr="00E50215">
        <w:rPr>
          <w:rFonts w:eastAsia="Century Gothic"/>
          <w:b/>
          <w:lang w:val="fr-CA"/>
        </w:rPr>
        <w:t>Nom de l’antiacide</w:t>
      </w:r>
      <w:r w:rsidRPr="00E50215">
        <w:rPr>
          <w:rFonts w:eastAsia="Century Gothic"/>
          <w:lang w:val="fr-CA"/>
        </w:rPr>
        <w:t> </w:t>
      </w:r>
      <w:proofErr w:type="gramStart"/>
      <w:r w:rsidRPr="00E50215">
        <w:rPr>
          <w:rFonts w:eastAsia="Century Gothic"/>
          <w:lang w:val="fr-CA"/>
        </w:rPr>
        <w:t>:_</w:t>
      </w:r>
      <w:proofErr w:type="gramEnd"/>
      <w:r w:rsidRPr="00E50215">
        <w:rPr>
          <w:rFonts w:eastAsia="Century Gothic"/>
          <w:lang w:val="fr-CA"/>
        </w:rPr>
        <w:t>_____________________</w:t>
      </w:r>
    </w:p>
    <w:p w:rsidR="000D4348" w:rsidRPr="00E50215" w:rsidRDefault="000D4348" w:rsidP="000D4348">
      <w:pPr>
        <w:rPr>
          <w:rFonts w:eastAsia="Century Gothic"/>
          <w:lang w:val="fr-CA"/>
        </w:rPr>
      </w:pPr>
    </w:p>
    <w:p w:rsidR="000D4348" w:rsidRDefault="000D4348" w:rsidP="00C46A5A">
      <w:pPr>
        <w:pStyle w:val="Paragraphedeliste"/>
        <w:numPr>
          <w:ilvl w:val="0"/>
          <w:numId w:val="1"/>
        </w:numPr>
        <w:rPr>
          <w:rFonts w:eastAsia="Century Gothic"/>
          <w:rtl/>
        </w:rPr>
      </w:pPr>
      <w:r w:rsidRPr="00C73702">
        <w:rPr>
          <w:rFonts w:eastAsia="Century Gothic"/>
          <w:lang w:val="fr-CA"/>
        </w:rPr>
        <w:t xml:space="preserve">Administrer le </w:t>
      </w:r>
      <w:proofErr w:type="spellStart"/>
      <w:r w:rsidR="00C46A5A" w:rsidRPr="00C46A5A">
        <w:rPr>
          <w:rFonts w:eastAsia="Century Gothic"/>
          <w:bCs/>
          <w:lang w:val="fr-CA"/>
        </w:rPr>
        <w:t>Lédispavir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/ </w:t>
      </w:r>
      <w:proofErr w:type="spellStart"/>
      <w:r w:rsidR="00C46A5A" w:rsidRPr="00C46A5A">
        <w:rPr>
          <w:rFonts w:eastAsia="Century Gothic"/>
          <w:bCs/>
          <w:lang w:val="fr-CA"/>
        </w:rPr>
        <w:t>Sofosbuvir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(</w:t>
      </w:r>
      <w:proofErr w:type="spellStart"/>
      <w:r w:rsidR="00C46A5A" w:rsidRPr="00C46A5A">
        <w:rPr>
          <w:rFonts w:eastAsia="Century Gothic"/>
          <w:bCs/>
          <w:lang w:val="fr-CA"/>
        </w:rPr>
        <w:t>Harvoni</w:t>
      </w:r>
      <w:proofErr w:type="spellEnd"/>
      <w:r w:rsidR="00C46A5A" w:rsidRPr="00C46A5A">
        <w:rPr>
          <w:rFonts w:eastAsia="Century Gothic"/>
          <w:bCs/>
          <w:lang w:val="fr-CA"/>
        </w:rPr>
        <w:t>)</w:t>
      </w:r>
      <w:r w:rsidRPr="00C73702">
        <w:rPr>
          <w:rFonts w:eastAsia="Century Gothic"/>
          <w:lang w:val="fr-CA"/>
        </w:rPr>
        <w:t xml:space="preserve"> au moins 4 heures avant l'antiacide.</w:t>
      </w:r>
    </w:p>
    <w:p w:rsidR="000D4348" w:rsidRPr="00C73702" w:rsidRDefault="000D4348" w:rsidP="000D4348">
      <w:pPr>
        <w:pStyle w:val="Paragraphedeliste"/>
        <w:rPr>
          <w:rFonts w:eastAsia="Century Gothic"/>
          <w:lang w:val="fr-CA"/>
        </w:rPr>
      </w:pPr>
    </w:p>
    <w:p w:rsidR="000D4348" w:rsidRPr="00C73702" w:rsidRDefault="000D4348" w:rsidP="00C46A5A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 xml:space="preserve">Administrer le </w:t>
      </w:r>
      <w:proofErr w:type="spellStart"/>
      <w:r w:rsidR="00C46A5A" w:rsidRPr="00C46A5A">
        <w:rPr>
          <w:rFonts w:eastAsia="Century Gothic"/>
          <w:bCs/>
          <w:lang w:val="fr-CA"/>
        </w:rPr>
        <w:t>Lédispavir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/ </w:t>
      </w:r>
      <w:proofErr w:type="spellStart"/>
      <w:r w:rsidR="00C46A5A" w:rsidRPr="00C46A5A">
        <w:rPr>
          <w:rFonts w:eastAsia="Century Gothic"/>
          <w:bCs/>
          <w:lang w:val="fr-CA"/>
        </w:rPr>
        <w:t>Sofosbuvir</w:t>
      </w:r>
      <w:proofErr w:type="spellEnd"/>
      <w:r w:rsidR="00C46A5A" w:rsidRPr="00C46A5A">
        <w:rPr>
          <w:rFonts w:eastAsia="Century Gothic"/>
          <w:bCs/>
          <w:lang w:val="fr-CA"/>
        </w:rPr>
        <w:t xml:space="preserve"> (</w:t>
      </w:r>
      <w:proofErr w:type="spellStart"/>
      <w:r w:rsidR="00C46A5A" w:rsidRPr="00C46A5A">
        <w:rPr>
          <w:rFonts w:eastAsia="Century Gothic"/>
          <w:bCs/>
          <w:lang w:val="fr-CA"/>
        </w:rPr>
        <w:t>Harvoni</w:t>
      </w:r>
      <w:proofErr w:type="spellEnd"/>
      <w:r w:rsidR="00C46A5A" w:rsidRPr="00C46A5A">
        <w:rPr>
          <w:rFonts w:eastAsia="Century Gothic"/>
          <w:bCs/>
          <w:lang w:val="fr-CA"/>
        </w:rPr>
        <w:t>)</w:t>
      </w:r>
      <w:r w:rsidR="00136474">
        <w:rPr>
          <w:rFonts w:eastAsia="Century Gothic"/>
          <w:bCs/>
          <w:lang w:val="fr-CA"/>
        </w:rPr>
        <w:t xml:space="preserve"> </w:t>
      </w:r>
      <w:bookmarkStart w:id="1" w:name="_GoBack"/>
      <w:bookmarkEnd w:id="1"/>
      <w:r w:rsidRPr="00C73702">
        <w:rPr>
          <w:rFonts w:eastAsia="Century Gothic"/>
          <w:lang w:val="fr-CA"/>
        </w:rPr>
        <w:t>au moins 4 heures après l'antiacide.</w:t>
      </w:r>
      <w:r w:rsidRPr="00C73702">
        <w:rPr>
          <w:rFonts w:eastAsia="Century Gothic"/>
          <w:lang w:val="fr-CA"/>
        </w:rPr>
        <w:br/>
      </w:r>
    </w:p>
    <w:p w:rsidR="000D4348" w:rsidRPr="00C73702" w:rsidRDefault="000D4348" w:rsidP="000D4348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>
        <w:rPr>
          <w:rFonts w:eastAsia="Century Gothic"/>
          <w:lang w:val="fr-CA"/>
        </w:rPr>
        <w:t xml:space="preserve">Suspendre l’antiacide pendant le traitement contre l’hépatite C </w:t>
      </w:r>
      <w:r>
        <w:rPr>
          <w:rFonts w:eastAsia="Century Gothic"/>
          <w:lang w:val="fr-CA"/>
        </w:rPr>
        <w:br/>
        <w:t>*Du __________ au ___________*</w:t>
      </w:r>
    </w:p>
    <w:p w:rsidR="000D4348" w:rsidRPr="00E50215" w:rsidRDefault="000D4348" w:rsidP="000D4348">
      <w:pPr>
        <w:jc w:val="both"/>
        <w:rPr>
          <w:rFonts w:eastAsia="Century Gothic"/>
          <w:lang w:val="fr-CA"/>
        </w:rPr>
      </w:pPr>
    </w:p>
    <w:p w:rsidR="000D4348" w:rsidRDefault="000D4348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proofErr w:type="spellStart"/>
      <w:r>
        <w:rPr>
          <w:rFonts w:eastAsia="Century Gothic"/>
        </w:rPr>
        <w:t>Autre</w:t>
      </w:r>
      <w:proofErr w:type="spellEnd"/>
      <w:r>
        <w:rPr>
          <w:rFonts w:eastAsia="Century Gothic"/>
        </w:rPr>
        <w:t xml:space="preserve">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Default="000D4348" w:rsidP="000D4348">
      <w:pPr>
        <w:spacing w:after="160" w:line="256" w:lineRule="auto"/>
        <w:jc w:val="both"/>
        <w:rPr>
          <w:rFonts w:eastAsia="Century Gothic"/>
          <w:lang w:val="fr-CA"/>
        </w:rPr>
      </w:pPr>
      <w:r w:rsidRPr="00C73702">
        <w:rPr>
          <w:rFonts w:eastAsia="Century Gothic"/>
          <w:b/>
          <w:lang w:val="fr-CA"/>
        </w:rPr>
        <w:t xml:space="preserve">Suivi : </w:t>
      </w:r>
      <w:r w:rsidRPr="00C73702">
        <w:rPr>
          <w:rFonts w:eastAsia="Century Gothic"/>
          <w:lang w:val="fr-CA"/>
        </w:rPr>
        <w:t>Efficacité du traitement anti-HCV.</w:t>
      </w:r>
    </w:p>
    <w:p w:rsidR="00251915" w:rsidRDefault="00251915" w:rsidP="00251915">
      <w:pPr>
        <w:rPr>
          <w:rFonts w:eastAsia="Century Gothic"/>
          <w:lang w:val="fr-CA"/>
        </w:rPr>
      </w:pPr>
    </w:p>
    <w:p w:rsidR="00173AEA" w:rsidRDefault="00173AEA" w:rsidP="00251915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251915">
        <w:rPr>
          <w:rFonts w:eastAsia="Century Gothic"/>
          <w:lang w:val="fr-CA"/>
        </w:rPr>
        <w:t>En toute collaboration,</w:t>
      </w:r>
    </w:p>
    <w:p w:rsidR="000D4348" w:rsidRPr="00251915" w:rsidRDefault="000D4348" w:rsidP="00251915">
      <w:pPr>
        <w:rPr>
          <w:rFonts w:eastAsia="Century Gothic"/>
          <w:lang w:val="fr-CA"/>
        </w:rPr>
      </w:pPr>
    </w:p>
    <w:p w:rsidR="00A7767A" w:rsidRPr="00251915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251915">
        <w:rPr>
          <w:rFonts w:eastAsia="Century Gothic"/>
          <w:lang w:val="fr-CA"/>
        </w:rPr>
        <w:t>Pharmacie(ne) :</w:t>
      </w:r>
      <w:r w:rsidR="00A15FA1" w:rsidRPr="00251915">
        <w:rPr>
          <w:rFonts w:eastAsia="Century Gothic"/>
          <w:lang w:val="fr-CA"/>
        </w:rPr>
        <w:t xml:space="preserve"> </w:t>
      </w:r>
      <w:r w:rsidRPr="00251915">
        <w:rPr>
          <w:rFonts w:eastAsia="Century Gothic"/>
          <w:lang w:val="fr-CA"/>
        </w:rPr>
        <w:t>_____________</w:t>
      </w:r>
      <w:r w:rsidR="00A7767A" w:rsidRPr="00251915">
        <w:rPr>
          <w:rFonts w:eastAsia="Century Gothic"/>
          <w:lang w:val="fr-CA"/>
        </w:rPr>
        <w:t>____________________</w:t>
      </w:r>
      <w:r w:rsidRPr="00251915">
        <w:rPr>
          <w:rFonts w:eastAsia="Century Gothic"/>
          <w:lang w:val="fr-CA"/>
        </w:rPr>
        <w:t>____________</w:t>
      </w:r>
    </w:p>
    <w:p w:rsidR="00FA6CB7" w:rsidRPr="00251915" w:rsidRDefault="00A7767A" w:rsidP="00A7767A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251915">
        <w:rPr>
          <w:rFonts w:eastAsia="Century Gothic"/>
          <w:color w:val="000000"/>
          <w:lang w:val="fr-CA"/>
        </w:rPr>
        <w:t>#Téléphone :</w:t>
      </w:r>
      <w:r w:rsidRPr="00251915">
        <w:rPr>
          <w:rFonts w:eastAsia="Century Gothic"/>
          <w:color w:val="000000"/>
          <w:lang w:val="fr-CA"/>
        </w:rPr>
        <w:t xml:space="preserve"> ________________</w:t>
      </w:r>
      <w:r w:rsidR="00173AEA" w:rsidRPr="00251915">
        <w:rPr>
          <w:rFonts w:eastAsia="Century Gothic"/>
          <w:color w:val="000000"/>
          <w:lang w:val="fr-CA"/>
        </w:rPr>
        <w:t>______</w:t>
      </w:r>
      <w:r w:rsidR="00173AEA" w:rsidRPr="00251915">
        <w:rPr>
          <w:rFonts w:ascii="Arial" w:eastAsia="Century Gothic" w:hAnsi="Arial" w:cs="Arial"/>
          <w:color w:val="000000"/>
          <w:lang w:val="fr-CA"/>
        </w:rPr>
        <w:t>​</w:t>
      </w:r>
      <w:r w:rsidRPr="00251915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251915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proofErr w:type="gramStart"/>
                            <w:r w:rsidRPr="000B663C">
                              <w:t>Date :</w:t>
                            </w:r>
                            <w:proofErr w:type="gramEnd"/>
                            <w:r w:rsidRPr="000B663C">
                              <w:t xml:space="preserve">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 xml:space="preserve">et </w:t>
                            </w:r>
                            <w:proofErr w:type="spellStart"/>
                            <w:r w:rsidR="00596720" w:rsidRPr="000B663C">
                              <w:t>licence</w:t>
                            </w:r>
                            <w:proofErr w:type="spellEnd"/>
                            <w:r w:rsidR="00596720" w:rsidRPr="000B663C">
                              <w:t>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56" w:rsidRDefault="003E5B56" w:rsidP="00CD5A4A">
      <w:r>
        <w:separator/>
      </w:r>
    </w:p>
  </w:endnote>
  <w:endnote w:type="continuationSeparator" w:id="0">
    <w:p w:rsidR="003E5B56" w:rsidRDefault="003E5B56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Pr="00FA6CB7">
      <w:rPr>
        <w:lang w:val="fr-CA"/>
      </w:rPr>
      <w:t>Avril 2019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56" w:rsidRDefault="003E5B56" w:rsidP="00CD5A4A">
      <w:r>
        <w:separator/>
      </w:r>
    </w:p>
  </w:footnote>
  <w:footnote w:type="continuationSeparator" w:id="0">
    <w:p w:rsidR="003E5B56" w:rsidRDefault="003E5B56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3647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36474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C1844"/>
    <w:rsid w:val="000D4348"/>
    <w:rsid w:val="0010058A"/>
    <w:rsid w:val="00136474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B48"/>
    <w:rsid w:val="002128AF"/>
    <w:rsid w:val="002264DF"/>
    <w:rsid w:val="00251915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3E5B56"/>
    <w:rsid w:val="00401C9F"/>
    <w:rsid w:val="004066E9"/>
    <w:rsid w:val="00427BE2"/>
    <w:rsid w:val="00442536"/>
    <w:rsid w:val="0044508D"/>
    <w:rsid w:val="00446286"/>
    <w:rsid w:val="00467422"/>
    <w:rsid w:val="00497C7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6A5A"/>
    <w:rsid w:val="00C47F74"/>
    <w:rsid w:val="00C50966"/>
    <w:rsid w:val="00C754CB"/>
    <w:rsid w:val="00C835EA"/>
    <w:rsid w:val="00C917C3"/>
    <w:rsid w:val="00CC1A72"/>
    <w:rsid w:val="00CD4792"/>
    <w:rsid w:val="00CD5A4A"/>
    <w:rsid w:val="00D05073"/>
    <w:rsid w:val="00D213AD"/>
    <w:rsid w:val="00D809DD"/>
    <w:rsid w:val="00D86D63"/>
    <w:rsid w:val="00DC7986"/>
    <w:rsid w:val="00E01BA6"/>
    <w:rsid w:val="00E05B46"/>
    <w:rsid w:val="00E20E8A"/>
    <w:rsid w:val="00E417B9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6B75-A884-4F90-82D5-1873BDC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1718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2019-04-24T20:30:00Z</cp:lastPrinted>
  <dcterms:created xsi:type="dcterms:W3CDTF">2019-05-03T17:39:00Z</dcterms:created>
  <dcterms:modified xsi:type="dcterms:W3CDTF">2019-05-03T17:39:00Z</dcterms:modified>
</cp:coreProperties>
</file>