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possible entre les anticonvulsivants et Raltégravir (Isentress &amp; Isentress HD)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 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Carbamazépine (Tegretol)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Oxcarbazépine (Trileptal)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Phénobarbital (Luminal)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Phénytoïne (Dilantin)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Primidone (Mysoline)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Raltégravir (Isentress)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Raltégravir HD (Isentress HD)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diminution de Raltégravir peut survenir lors de l’administration concomitante avec un anticonvulsivant mentionné ci-haut. Voici pourquoi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1-4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anticonvulsivants sont des inducteurs de la conjugaison (UGT-1A1).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métabolisme du raltégravir implique l’UGT.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L’induction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peut diminuer la concentration plasmatique du raltégravir et son efficacité clinique.</w:t>
      </w:r>
    </w:p>
    <w:p w:rsidR="00000000" w:rsidDel="00000000" w:rsidP="00000000" w:rsidRDefault="00000000" w:rsidRPr="00000000" w14:paraId="00000016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contextualSpacing w:val="0"/>
        <w:jc w:val="both"/>
        <w:rPr>
          <w:rFonts w:ascii="Century Gothic" w:cs="Century Gothic" w:eastAsia="Century Gothic" w:hAnsi="Century Gothic"/>
          <w:color w:val="1d1d1d"/>
          <w:sz w:val="22"/>
          <w:szCs w:val="22"/>
          <w:vertAlign w:val="superscript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L’administration concomitante des anticonvulsivants et du raltégravir n’a pas été étudiée. Cette association n’est pas recommandée avec l’Isentress et plus particulièrement avec l’Isentress HD</w:t>
      </w:r>
      <w:r w:rsidDel="00000000" w:rsidR="00000000" w:rsidRPr="00000000">
        <w:rPr>
          <w:rFonts w:ascii="Century Gothic" w:cs="Century Gothic" w:eastAsia="Century Gothic" w:hAnsi="Century Gothic"/>
          <w:color w:val="1d1d1d"/>
          <w:sz w:val="22"/>
          <w:szCs w:val="22"/>
          <w:vertAlign w:val="superscript"/>
          <w:rtl w:val="0"/>
        </w:rPr>
        <w:t xml:space="preserve">1,2</w:t>
      </w:r>
    </w:p>
    <w:p w:rsidR="00000000" w:rsidDel="00000000" w:rsidP="00000000" w:rsidRDefault="00000000" w:rsidRPr="00000000" w14:paraId="00000018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 monographie ne fait pas de suggestion d’ajustement de dose avec le raltégravir et les anticonvulsivants. Par contre, elle suggère d’augmenter la dose de l’Isentress à 800 mg BID en présence de la rifampicine également un puissant inducteur de l’UGT.  Isentress HD n’est toutefois pas une option.</w:t>
      </w:r>
    </w:p>
    <w:p w:rsidR="00000000" w:rsidDel="00000000" w:rsidP="00000000" w:rsidRDefault="00000000" w:rsidRPr="00000000" w14:paraId="00000019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 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Envisager de changer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 anticonvulsivant 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 un anticonvulsivant qui n’a pas d’effet d’induction sur UGT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ind w:left="2520" w:hanging="108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Changer le raltégravir pour un autre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antirétroviral 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Augmenter les doses de raltégravir à 800 mg BID, effectuer un dosage plasmatique du raltégravir et surveiller l’efficacité clinique.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l’efficacité thérapeutique du traitement anti-VIH, charge virale et CD4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 : 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Renouvellements : _____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Numéro de pratique : __________    Signature : __________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 : Isentress &amp; Isentress HD (comprimés de raltégravir à 400 mg et 600 mg respectivement), numéro de contrôle de la présentation : 210317, Merck Canada Inc., Québec, Canada, Septembre 2018.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(raltegravir), European public assessment report (EPAR) Product Information, London, United Kingdom, June 2018.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contextualSpacing w:val="1"/>
        <w:jc w:val="both"/>
        <w:rPr>
          <w:rFonts w:ascii="Roboto" w:cs="Roboto" w:eastAsia="Roboto" w:hAnsi="Roboto"/>
          <w:color w:val="4d4d4d"/>
          <w:sz w:val="21"/>
          <w:szCs w:val="21"/>
          <w:shd w:fill="fafafa" w:val="clear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Isentress &amp; Isentress HD, Prescribing Information, Merck &amp; Co Inc, New Jersey, USA, March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ind w:left="714" w:hanging="357"/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Guide thérapeutique VIH. [En ligne]. Disponible 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http://www.guidetherapeutiquevih.com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tl w:val="0"/>
      </w:rPr>
      <w:t xml:space="preserve">                                                                                  Septembre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20"/>
          <w:szCs w:val="20"/>
          <w:rtl w:val="0"/>
        </w:rPr>
        <w:t xml:space="preserve">* Anticonvulsivants comme solution de de rechange : Gabapentine, prégabaline, acide valproïque, clobazam, lévétiracétam, topiramate, lacosamide, clonazépam ou lamotrigine.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guidetherapeutiquevih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