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Opinion pharmaceutique </w:t>
      </w:r>
    </w:p>
    <w:p w:rsidR="00000000" w:rsidDel="00000000" w:rsidP="00000000" w:rsidRDefault="00000000" w:rsidRPr="00000000" w14:paraId="00000001">
      <w:pPr>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Cholestyramine, Colestipol et Dolutégravir (Tivicay, Triumeq et Juluca)</w:t>
      </w:r>
    </w:p>
    <w:p w:rsidR="00000000" w:rsidDel="00000000" w:rsidP="00000000" w:rsidRDefault="00000000" w:rsidRPr="00000000" w14:paraId="00000003">
      <w:pPr>
        <w:contextualSpacing w:val="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_________________________</w:t>
        <w:tab/>
        <w:tab/>
        <w:tab/>
        <w:t xml:space="preserve">DDN : _____/_____/_____</w:t>
      </w:r>
    </w:p>
    <w:p w:rsidR="00000000" w:rsidDel="00000000" w:rsidP="00000000" w:rsidRDefault="00000000" w:rsidRPr="00000000" w14:paraId="0000000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Après avoir analysé le dossier de votre patient(e), j’ai relevé un problème relié à sa pharmacothérapie. </w:t>
      </w:r>
    </w:p>
    <w:p w:rsidR="00000000" w:rsidDel="00000000" w:rsidP="00000000" w:rsidRDefault="00000000" w:rsidRPr="00000000" w14:paraId="00000007">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w:t>
      </w:r>
    </w:p>
    <w:p w:rsidR="00000000" w:rsidDel="00000000" w:rsidP="00000000" w:rsidRDefault="00000000" w:rsidRPr="00000000" w14:paraId="00000009">
      <w:pPr>
        <w:numPr>
          <w:ilvl w:val="0"/>
          <w:numId w:val="2"/>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Cholestyramine (Questran, Olestyr)</w:t>
      </w:r>
    </w:p>
    <w:p w:rsidR="00000000" w:rsidDel="00000000" w:rsidP="00000000" w:rsidRDefault="00000000" w:rsidRPr="00000000" w14:paraId="0000000A">
      <w:pPr>
        <w:numPr>
          <w:ilvl w:val="0"/>
          <w:numId w:val="2"/>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Colestipol (Colestid)</w:t>
      </w:r>
    </w:p>
    <w:p w:rsidR="00000000" w:rsidDel="00000000" w:rsidP="00000000" w:rsidRDefault="00000000" w:rsidRPr="00000000" w14:paraId="0000000B">
      <w:pPr>
        <w:ind w:left="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Et </w:t>
      </w:r>
    </w:p>
    <w:p w:rsidR="00000000" w:rsidDel="00000000" w:rsidP="00000000" w:rsidRDefault="00000000" w:rsidRPr="00000000" w14:paraId="0000000C">
      <w:pPr>
        <w:numPr>
          <w:ilvl w:val="0"/>
          <w:numId w:val="2"/>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Dolutégravir (Tivicay)</w:t>
      </w:r>
    </w:p>
    <w:p w:rsidR="00000000" w:rsidDel="00000000" w:rsidP="00000000" w:rsidRDefault="00000000" w:rsidRPr="00000000" w14:paraId="0000000D">
      <w:pPr>
        <w:numPr>
          <w:ilvl w:val="0"/>
          <w:numId w:val="2"/>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Dolutégravir/Lamivudine/Abacavir (Triumeq)</w:t>
      </w:r>
    </w:p>
    <w:p w:rsidR="00000000" w:rsidDel="00000000" w:rsidP="00000000" w:rsidRDefault="00000000" w:rsidRPr="00000000" w14:paraId="0000000E">
      <w:pPr>
        <w:numPr>
          <w:ilvl w:val="0"/>
          <w:numId w:val="2"/>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Dolutégravir/Rilpivirine (Juluca)</w:t>
      </w:r>
    </w:p>
    <w:p w:rsidR="00000000" w:rsidDel="00000000" w:rsidP="00000000" w:rsidRDefault="00000000" w:rsidRPr="00000000" w14:paraId="0000000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Aucune étude n’a été réalisée. Cependant, étant donné le mécanisme d’action des séquestrants biliaires, une interaction peut avoir lieu. La Cholestyramine et le Colestipol peuvent se lier aux autres médicaments administrés simultanément, diminuer leur absorption et leur efficacité clinique par le même fait. </w:t>
      </w:r>
    </w:p>
    <w:p w:rsidR="00000000" w:rsidDel="00000000" w:rsidP="00000000" w:rsidRDefault="00000000" w:rsidRPr="00000000" w14:paraId="00000011">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Les monographies recommandent d’espacer la prise des médicaments d’au moins 1 heure avant et 4 à 6 heures après la prise des séquestrants biliaires.</w:t>
      </w:r>
      <w:r w:rsidDel="00000000" w:rsidR="00000000" w:rsidRPr="00000000">
        <w:rPr>
          <w:rFonts w:ascii="Century Gothic" w:cs="Century Gothic" w:eastAsia="Century Gothic" w:hAnsi="Century Gothic"/>
          <w:sz w:val="22"/>
          <w:szCs w:val="22"/>
          <w:vertAlign w:val="superscript"/>
          <w:rtl w:val="0"/>
        </w:rPr>
        <w:t xml:space="preserve">1- 3</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tl w:val="0"/>
        </w:rPr>
      </w:r>
    </w:p>
    <w:p w:rsidR="00000000" w:rsidDel="00000000" w:rsidP="00000000" w:rsidRDefault="00000000" w:rsidRPr="00000000" w14:paraId="00000012">
      <w:pPr>
        <w:contextualSpacing w:val="0"/>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13">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Option thérapeutique possible : </w:t>
      </w:r>
    </w:p>
    <w:p w:rsidR="00000000" w:rsidDel="00000000" w:rsidP="00000000" w:rsidRDefault="00000000" w:rsidRPr="00000000" w14:paraId="00000014">
      <w:pPr>
        <w:numPr>
          <w:ilvl w:val="0"/>
          <w:numId w:val="1"/>
        </w:numPr>
        <w:ind w:left="720" w:hanging="360"/>
        <w:contextualSpacing w:val="1"/>
        <w:jc w:val="both"/>
        <w:rPr>
          <w:sz w:val="22"/>
          <w:szCs w:val="22"/>
        </w:rPr>
      </w:pPr>
      <w:bookmarkStart w:colFirst="0" w:colLast="0" w:name="_gjdgxs" w:id="0"/>
      <w:bookmarkEnd w:id="0"/>
      <w:r w:rsidDel="00000000" w:rsidR="00000000" w:rsidRPr="00000000">
        <w:rPr>
          <w:rFonts w:ascii="Century Gothic" w:cs="Century Gothic" w:eastAsia="Century Gothic" w:hAnsi="Century Gothic"/>
          <w:sz w:val="22"/>
          <w:szCs w:val="22"/>
          <w:rtl w:val="0"/>
        </w:rPr>
        <w:t xml:space="preserve">Espacer la prise du Dolutégravir d’au moins 1 heure avant ou 4 à 6 heures après la prise des séquestrants biliaires.</w:t>
      </w:r>
    </w:p>
    <w:p w:rsidR="00000000" w:rsidDel="00000000" w:rsidP="00000000" w:rsidRDefault="00000000" w:rsidRPr="00000000" w14:paraId="0000001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Suivi : </w:t>
      </w:r>
    </w:p>
    <w:p w:rsidR="00000000" w:rsidDel="00000000" w:rsidP="00000000" w:rsidRDefault="00000000" w:rsidRPr="00000000" w14:paraId="00000017">
      <w:pPr>
        <w:numPr>
          <w:ilvl w:val="0"/>
          <w:numId w:val="4"/>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Surveiller l’efficacité thérapeutique du traitement anti-VIH, charge virale et CD4</w:t>
      </w:r>
      <w:r w:rsidDel="00000000" w:rsidR="00000000" w:rsidRPr="00000000">
        <w:rPr>
          <w:rFonts w:ascii="Century Gothic" w:cs="Century Gothic" w:eastAsia="Century Gothic" w:hAnsi="Century Gothic"/>
          <w:sz w:val="22"/>
          <w:szCs w:val="22"/>
          <w:vertAlign w:val="superscript"/>
          <w:rtl w:val="0"/>
        </w:rPr>
        <w:t xml:space="preserve">+</w:t>
      </w:r>
      <w:r w:rsidDel="00000000" w:rsidR="00000000" w:rsidRPr="00000000">
        <w:rPr>
          <w:rFonts w:ascii="Century Gothic" w:cs="Century Gothic" w:eastAsia="Century Gothic" w:hAnsi="Century Gothic"/>
          <w:sz w:val="22"/>
          <w:szCs w:val="22"/>
          <w:rtl w:val="0"/>
        </w:rPr>
        <w:t xml:space="preserve">.</w:t>
      </w:r>
      <w:r w:rsidDel="00000000" w:rsidR="00000000" w:rsidRPr="00000000">
        <w:rPr>
          <w:rtl w:val="0"/>
        </w:rPr>
      </w:r>
    </w:p>
    <w:p w:rsidR="00000000" w:rsidDel="00000000" w:rsidP="00000000" w:rsidRDefault="00000000" w:rsidRPr="00000000" w14:paraId="00000018">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88" w:lineRule="auto"/>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Suggestion de la pharmacie ou nouvelle prescription :</w:t>
      </w:r>
    </w:p>
    <w:p w:rsidR="00000000" w:rsidDel="00000000" w:rsidP="00000000" w:rsidRDefault="00000000" w:rsidRPr="00000000" w14:paraId="0000001B">
      <w:pPr>
        <w:contextualSpacing w:val="0"/>
        <w:jc w:val="both"/>
        <w:rPr>
          <w:rFonts w:ascii="Century Gothic" w:cs="Century Gothic" w:eastAsia="Century Gothic" w:hAnsi="Century Gothic"/>
          <w:b w:val="1"/>
          <w:sz w:val="22"/>
          <w:szCs w:val="22"/>
        </w:rPr>
      </w:pPr>
      <w:r w:rsidDel="00000000" w:rsidR="00000000" w:rsidRPr="00000000">
        <w:rPr>
          <w:rtl w:val="0"/>
        </w:rPr>
      </w:r>
    </w:p>
    <w:tbl>
      <w:tblPr>
        <w:tblStyle w:val="Table1"/>
        <w:tblW w:w="8985.0" w:type="dxa"/>
        <w:jc w:val="left"/>
        <w:tblInd w:w="100.0" w:type="pct"/>
        <w:tblLayout w:type="fixed"/>
        <w:tblLook w:val="0600"/>
      </w:tblPr>
      <w:tblGrid>
        <w:gridCol w:w="8985"/>
        <w:tblGridChange w:id="0">
          <w:tblGrid>
            <w:gridCol w:w="8985"/>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C">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 _____/_____/_____</w:t>
            </w:r>
          </w:p>
          <w:p w:rsidR="00000000" w:rsidDel="00000000" w:rsidP="00000000" w:rsidRDefault="00000000" w:rsidRPr="00000000" w14:paraId="0000001D">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          DDN : _____/_____/_____</w:t>
            </w:r>
          </w:p>
          <w:p w:rsidR="00000000" w:rsidDel="00000000" w:rsidP="00000000" w:rsidRDefault="00000000" w:rsidRPr="00000000" w14:paraId="0000001E">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Téléphone : _____________________________</w:t>
            </w:r>
          </w:p>
        </w:tc>
      </w:tr>
      <w:tr>
        <w:trPr>
          <w:trHeight w:val="324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F">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Rx :</w:t>
            </w:r>
          </w:p>
          <w:p w:rsidR="00000000" w:rsidDel="00000000" w:rsidP="00000000" w:rsidRDefault="00000000" w:rsidRPr="00000000" w14:paraId="00000020">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2">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3">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Renouvellements : _____</w:t>
            </w:r>
          </w:p>
          <w:p w:rsidR="00000000" w:rsidDel="00000000" w:rsidP="00000000" w:rsidRDefault="00000000" w:rsidRPr="00000000" w14:paraId="0000002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6">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8">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Médecin : __________    Numéro de pratique : __________    Signature : __________</w:t>
            </w:r>
          </w:p>
          <w:p w:rsidR="00000000" w:rsidDel="00000000" w:rsidP="00000000" w:rsidRDefault="00000000" w:rsidRPr="00000000" w14:paraId="00000029">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Adresse : ____________________________________________</w:t>
            </w:r>
          </w:p>
          <w:p w:rsidR="00000000" w:rsidDel="00000000" w:rsidP="00000000" w:rsidRDefault="00000000" w:rsidRPr="00000000" w14:paraId="0000002A">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     #Télécopieur : ________________</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B">
            <w:pPr>
              <w:spacing w:line="288" w:lineRule="auto"/>
              <w:ind w:left="-10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Certification du prescripteur </w:t>
            </w:r>
          </w:p>
          <w:p w:rsidR="00000000" w:rsidDel="00000000" w:rsidP="00000000" w:rsidRDefault="00000000" w:rsidRPr="00000000" w14:paraId="0000002C">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Je certifie que :</w:t>
            </w:r>
          </w:p>
          <w:p w:rsidR="00000000" w:rsidDel="00000000" w:rsidP="00000000" w:rsidRDefault="00000000" w:rsidRPr="00000000" w14:paraId="0000002D">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cette ordonnance est une ordonnance originale,</w:t>
            </w:r>
          </w:p>
          <w:p w:rsidR="00000000" w:rsidDel="00000000" w:rsidP="00000000" w:rsidRDefault="00000000" w:rsidRPr="00000000" w14:paraId="0000002E">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le pharmacien identifié précité est le seul destinataire,</w:t>
            </w:r>
          </w:p>
          <w:p w:rsidR="00000000" w:rsidDel="00000000" w:rsidP="00000000" w:rsidRDefault="00000000" w:rsidRPr="00000000" w14:paraId="0000002F">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l’original ne sera pas réutilisé.</w:t>
            </w:r>
          </w:p>
        </w:tc>
      </w:tr>
    </w:tbl>
    <w:p w:rsidR="00000000" w:rsidDel="00000000" w:rsidP="00000000" w:rsidRDefault="00000000" w:rsidRPr="00000000" w14:paraId="00000030">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Veuillez svp nous faire parvenir une copie de cette page avec votre conduite à tenir.</w:t>
      </w:r>
    </w:p>
    <w:p w:rsidR="00000000" w:rsidDel="00000000" w:rsidP="00000000" w:rsidRDefault="00000000" w:rsidRPr="00000000" w14:paraId="00000032">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 vous avez besoin d’information complémentaire, n’hésitez pas à communiquer avec moi.</w:t>
      </w:r>
    </w:p>
    <w:p w:rsidR="00000000" w:rsidDel="00000000" w:rsidP="00000000" w:rsidRDefault="00000000" w:rsidRPr="00000000" w14:paraId="00000034">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5">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Cordialement,</w:t>
      </w:r>
    </w:p>
    <w:p w:rsidR="00000000" w:rsidDel="00000000" w:rsidP="00000000" w:rsidRDefault="00000000" w:rsidRPr="00000000" w14:paraId="00000036">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Pharmacien(ne) : ____________________</w:t>
        <w:tab/>
        <w:t xml:space="preserve">Pharmacie : ____________________</w:t>
      </w:r>
    </w:p>
    <w:p w:rsidR="00000000" w:rsidDel="00000000" w:rsidP="00000000" w:rsidRDefault="00000000" w:rsidRPr="00000000" w14:paraId="00000038">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w:t>
        <w:tab/>
        <w:t xml:space="preserve">#Télécopieur : ____________________</w:t>
      </w:r>
    </w:p>
    <w:p w:rsidR="00000000" w:rsidDel="00000000" w:rsidP="00000000" w:rsidRDefault="00000000" w:rsidRPr="00000000" w14:paraId="00000039">
      <w:pPr>
        <w:contextualSpacing w:val="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A">
      <w:pPr>
        <w:contextualSpacing w:val="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3B">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contextualSpacing w:val="0"/>
        <w:jc w:val="both"/>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D">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Références : </w:t>
      </w:r>
    </w:p>
    <w:p w:rsidR="00000000" w:rsidDel="00000000" w:rsidP="00000000" w:rsidRDefault="00000000" w:rsidRPr="00000000" w14:paraId="0000003E">
      <w:pPr>
        <w:numPr>
          <w:ilvl w:val="0"/>
          <w:numId w:val="5"/>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Monographie : Olestyr (poudre de résine de cholestyramine), numéro de contrôle de présentation : 202102, Pharmascience Inc., Québec, Canada, Février 2017.</w:t>
      </w:r>
    </w:p>
    <w:p w:rsidR="00000000" w:rsidDel="00000000" w:rsidP="00000000" w:rsidRDefault="00000000" w:rsidRPr="00000000" w14:paraId="0000003F">
      <w:pPr>
        <w:widowControl w:val="0"/>
        <w:numPr>
          <w:ilvl w:val="0"/>
          <w:numId w:val="5"/>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1d1d1d"/>
          <w:sz w:val="22"/>
          <w:szCs w:val="22"/>
          <w:rtl w:val="0"/>
        </w:rPr>
        <w:t xml:space="preserve">Monographie : Colestid (granules de colestipol), numéro de contrôle de présentation : 166083, Pfizer Canada Inc., Québec, Canada, Octobre 2013.</w:t>
      </w:r>
      <w:r w:rsidDel="00000000" w:rsidR="00000000" w:rsidRPr="00000000">
        <w:rPr>
          <w:rtl w:val="0"/>
        </w:rPr>
      </w:r>
    </w:p>
    <w:p w:rsidR="00000000" w:rsidDel="00000000" w:rsidP="00000000" w:rsidRDefault="00000000" w:rsidRPr="00000000" w14:paraId="00000040">
      <w:pPr>
        <w:widowControl w:val="0"/>
        <w:numPr>
          <w:ilvl w:val="0"/>
          <w:numId w:val="5"/>
        </w:numPr>
        <w:tabs>
          <w:tab w:val="left" w:pos="220"/>
          <w:tab w:val="left" w:pos="720"/>
        </w:tabs>
        <w:ind w:left="714" w:hanging="357"/>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Guide thérapeutique VIH. [En ligne]. Disponible : </w:t>
      </w:r>
      <w:hyperlink r:id="rId6">
        <w:r w:rsidDel="00000000" w:rsidR="00000000" w:rsidRPr="00000000">
          <w:rPr>
            <w:rFonts w:ascii="Century Gothic" w:cs="Century Gothic" w:eastAsia="Century Gothic" w:hAnsi="Century Gothic"/>
            <w:color w:val="1155cc"/>
            <w:sz w:val="22"/>
            <w:szCs w:val="22"/>
            <w:u w:val="single"/>
            <w:rtl w:val="0"/>
          </w:rPr>
          <w:t xml:space="preserve">http://www.guidetherapeutiquevih.com</w:t>
        </w:r>
      </w:hyperlink>
      <w:r w:rsidDel="00000000" w:rsidR="00000000" w:rsidRPr="00000000">
        <w:rPr>
          <w:rFonts w:ascii="Century Gothic" w:cs="Century Gothic" w:eastAsia="Century Gothic" w:hAnsi="Century Gothic"/>
          <w:color w:val="0000ff"/>
          <w:sz w:val="22"/>
          <w:szCs w:val="22"/>
          <w:rtl w:val="0"/>
        </w:rPr>
        <w:t xml:space="preserve"> </w:t>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sectPr>
      <w:footerReference r:id="rId7"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pPr>
    <w:hyperlink r:id="rId1">
      <w:r w:rsidDel="00000000" w:rsidR="00000000" w:rsidRPr="00000000">
        <w:rPr>
          <w:color w:val="0563c1"/>
          <w:u w:val="single"/>
          <w:rtl w:val="0"/>
        </w:rPr>
        <w:t xml:space="preserve">www.guidetherapeutiqueVIH.com</w:t>
      </w:r>
    </w:hyperlink>
    <w:r w:rsidDel="00000000" w:rsidR="00000000" w:rsidRPr="00000000">
      <w:rPr>
        <w:rtl w:val="0"/>
      </w:rPr>
      <w:t xml:space="preserve">                                                                              Septembre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uidetherapeutiquevih.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