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42" w:rsidRDefault="007B08B5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Opinion pharmaceutique </w:t>
      </w:r>
    </w:p>
    <w:p w:rsidR="00B70A42" w:rsidRDefault="00B70A42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Interaction entre les antiacides et le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 w:rsidR="00A23E72">
        <w:rPr>
          <w:rFonts w:ascii="Century Gothic" w:eastAsia="Century Gothic" w:hAnsi="Century Gothic" w:cs="Century Gothic"/>
          <w:b/>
          <w:sz w:val="22"/>
          <w:szCs w:val="22"/>
        </w:rPr>
        <w:t>Triumeq</w:t>
      </w:r>
      <w:proofErr w:type="spellEnd"/>
      <w:r w:rsidR="00A23E72"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 w:rsidR="00A23E72">
        <w:rPr>
          <w:rFonts w:ascii="Century Gothic" w:eastAsia="Century Gothic" w:hAnsi="Century Gothic" w:cs="Century Gothic"/>
          <w:b/>
          <w:sz w:val="22"/>
          <w:szCs w:val="22"/>
        </w:rPr>
        <w:t>Dovato</w:t>
      </w:r>
      <w:proofErr w:type="spellEnd"/>
      <w:r w:rsidR="00A23E72">
        <w:rPr>
          <w:rFonts w:ascii="Century Gothic" w:eastAsia="Century Gothic" w:hAnsi="Century Gothic" w:cs="Century Gothic"/>
          <w:b/>
          <w:sz w:val="22"/>
          <w:szCs w:val="22"/>
        </w:rPr>
        <w:t xml:space="preserve"> et </w:t>
      </w:r>
      <w:proofErr w:type="spellStart"/>
      <w:r w:rsidR="00A23E72">
        <w:rPr>
          <w:rFonts w:ascii="Century Gothic" w:eastAsia="Century Gothic" w:hAnsi="Century Gothic" w:cs="Century Gothic"/>
          <w:b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)</w:t>
      </w:r>
    </w:p>
    <w:p w:rsidR="00B70A42" w:rsidRDefault="00B70A42">
      <w:pPr>
        <w:jc w:val="center"/>
        <w:rPr>
          <w:rFonts w:ascii="Century Gothic" w:eastAsia="Century Gothic" w:hAnsi="Century Gothic" w:cs="Century Gothic"/>
        </w:rPr>
      </w:pPr>
    </w:p>
    <w:p w:rsidR="00B70A42" w:rsidRDefault="00B70A42">
      <w:pPr>
        <w:jc w:val="center"/>
        <w:rPr>
          <w:rFonts w:ascii="Century Gothic" w:eastAsia="Century Gothic" w:hAnsi="Century Gothic" w:cs="Century Gothic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DDN : _____/_____/_____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Interaction entre : </w:t>
      </w:r>
    </w:p>
    <w:p w:rsidR="00B70A42" w:rsidRDefault="007B0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Antiacides (à base d</w:t>
      </w:r>
      <w:r>
        <w:rPr>
          <w:rFonts w:ascii="Century Gothic" w:eastAsia="Century Gothic" w:hAnsi="Century Gothic" w:cs="Century Gothic"/>
          <w:sz w:val="22"/>
          <w:szCs w:val="22"/>
        </w:rPr>
        <w:t>’aluminium, 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z w:val="22"/>
          <w:szCs w:val="22"/>
        </w:rPr>
        <w:t>calcium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et/ou </w:t>
      </w:r>
      <w:r>
        <w:rPr>
          <w:rFonts w:ascii="Century Gothic" w:eastAsia="Century Gothic" w:hAnsi="Century Gothic" w:cs="Century Gothic"/>
          <w:sz w:val="22"/>
          <w:szCs w:val="22"/>
        </w:rPr>
        <w:t>magnésium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 :_______________. </w:t>
      </w: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Et </w:t>
      </w:r>
    </w:p>
    <w:p w:rsidR="00B70A42" w:rsidRDefault="007B08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B70A42" w:rsidRPr="00A23E72" w:rsidRDefault="007B08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bacavir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Triu</w:t>
      </w:r>
      <w:r>
        <w:rPr>
          <w:rFonts w:ascii="Century Gothic" w:eastAsia="Century Gothic" w:hAnsi="Century Gothic" w:cs="Century Gothic"/>
          <w:sz w:val="22"/>
          <w:szCs w:val="22"/>
        </w:rPr>
        <w:t>m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eq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A23E72" w:rsidRDefault="00A23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B70A42" w:rsidRDefault="007B08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Une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↓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l’efficacité clinique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peut survenir lors de l’administration avec un antiacide à base de cations (A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l,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Ca, Mg, etc.). Voici pourquoi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1-</w:t>
      </w:r>
      <w:r w:rsidR="00A23E72">
        <w:rPr>
          <w:rFonts w:ascii="Century Gothic" w:eastAsia="Century Gothic" w:hAnsi="Century Gothic" w:cs="Century Gothic"/>
          <w:sz w:val="22"/>
          <w:szCs w:val="22"/>
          <w:vertAlign w:val="superscript"/>
        </w:rPr>
        <w:t>7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 :</w:t>
      </w:r>
    </w:p>
    <w:p w:rsidR="00B70A42" w:rsidRDefault="007B08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Les antiacides sont à base de cations (Al, Ca, Mg, etc.).</w:t>
      </w:r>
    </w:p>
    <w:p w:rsidR="00B70A42" w:rsidRDefault="007B08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/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Ces cations peuvent se fixer au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B70A42" w:rsidRDefault="007B08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/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Cette chélation peut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↓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son absorption et possiblement son efficacité clinique.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Pour de plus amples informations, voici l’étude évaluant l’interaction ci-haut :</w:t>
      </w:r>
    </w:p>
    <w:p w:rsidR="00B70A42" w:rsidRDefault="007B08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="00A23E72">
        <w:rPr>
          <w:rFonts w:ascii="Century Gothic" w:eastAsia="Century Gothic" w:hAnsi="Century Gothic" w:cs="Century Gothic"/>
          <w:sz w:val="22"/>
          <w:szCs w:val="22"/>
          <w:vertAlign w:val="superscript"/>
        </w:rPr>
        <w:t>6</w:t>
      </w:r>
    </w:p>
    <w:p w:rsidR="00B70A42" w:rsidRDefault="007B08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/>
        <w:contextualSpacing/>
        <w:jc w:val="both"/>
        <w:rPr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Hydroxyde d'aluminium et de magnésium, simultanément avec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 :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↓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74 % SSC et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Cmin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B70A42" w:rsidRDefault="007B08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/>
        <w:contextualSpacing/>
        <w:jc w:val="both"/>
        <w:rPr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Hydroxyde d’aluminium et de magnésium, 2 heures après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 :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↓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d'environ 26% SSC et 30%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Cmin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Options thérapeutiques possibles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: </w:t>
      </w:r>
    </w:p>
    <w:p w:rsidR="00B70A42" w:rsidRDefault="007B08B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i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Si l’antiacide ne peut-être évité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: </w:t>
      </w:r>
    </w:p>
    <w:p w:rsidR="00B70A42" w:rsidRDefault="00A20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Tivicay</w:t>
      </w:r>
      <w:proofErr w:type="spellEnd"/>
      <w:r w:rsidR="00A23E72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Triumeq</w:t>
      </w:r>
      <w:proofErr w:type="spellEnd"/>
      <w:r w:rsidR="00A23E72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ou </w:t>
      </w:r>
      <w:proofErr w:type="spellStart"/>
      <w:r w:rsidR="00A23E72">
        <w:rPr>
          <w:rFonts w:ascii="Century Gothic" w:eastAsia="Century Gothic" w:hAnsi="Century Gothic" w:cs="Century Gothic"/>
          <w:color w:val="000000"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 : P</w:t>
      </w:r>
      <w:r w:rsidR="007B08B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rendre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7B08B5">
        <w:rPr>
          <w:rFonts w:ascii="Century Gothic" w:eastAsia="Century Gothic" w:hAnsi="Century Gothic" w:cs="Century Gothic"/>
          <w:color w:val="000000"/>
          <w:sz w:val="22"/>
          <w:szCs w:val="22"/>
        </w:rPr>
        <w:t>2 heures avant l’antiacide ou 6 heures après.</w:t>
      </w:r>
    </w:p>
    <w:p w:rsidR="00A20DE0" w:rsidRPr="00A20DE0" w:rsidRDefault="00A20DE0" w:rsidP="00A20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 : P</w:t>
      </w:r>
      <w:r w:rsidR="007B08B5">
        <w:rPr>
          <w:rFonts w:ascii="Century Gothic" w:eastAsia="Century Gothic" w:hAnsi="Century Gothic" w:cs="Century Gothic"/>
          <w:sz w:val="22"/>
          <w:szCs w:val="22"/>
        </w:rPr>
        <w:t xml:space="preserve">rendre le </w:t>
      </w:r>
      <w:proofErr w:type="spellStart"/>
      <w:r w:rsidR="007B08B5"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 w:rsidR="007B08B5"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 w:rsidR="007B08B5"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 w:rsidR="007B08B5">
        <w:rPr>
          <w:rFonts w:ascii="Century Gothic" w:eastAsia="Century Gothic" w:hAnsi="Century Gothic" w:cs="Century Gothic"/>
          <w:sz w:val="22"/>
          <w:szCs w:val="22"/>
        </w:rPr>
        <w:t>) 4 heures avant l’antiacide ou 6 heures après.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i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Solution de rechange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: </w:t>
      </w:r>
    </w:p>
    <w:p w:rsidR="00B70A42" w:rsidRDefault="007B0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bookmarkStart w:id="0" w:name="_jv1o8edln29f" w:colFirst="0" w:colLast="0"/>
      <w:bookmarkEnd w:id="0"/>
      <w:r>
        <w:rPr>
          <w:rFonts w:ascii="Century Gothic" w:eastAsia="Century Gothic" w:hAnsi="Century Gothic" w:cs="Century Gothic"/>
          <w:sz w:val="22"/>
          <w:szCs w:val="22"/>
        </w:rPr>
        <w:t xml:space="preserve">Pour </w:t>
      </w:r>
      <w:proofErr w:type="spellStart"/>
      <w:r w:rsidR="00A23E72"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 w:rsidR="00A23E72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Triumeq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A23E72">
        <w:rPr>
          <w:rFonts w:ascii="Century Gothic" w:eastAsia="Century Gothic" w:hAnsi="Century Gothic" w:cs="Century Gothic"/>
          <w:sz w:val="22"/>
          <w:szCs w:val="22"/>
        </w:rPr>
        <w:t xml:space="preserve">ou </w:t>
      </w:r>
      <w:proofErr w:type="spellStart"/>
      <w:r w:rsidR="00A23E72">
        <w:rPr>
          <w:rFonts w:ascii="Century Gothic" w:eastAsia="Century Gothic" w:hAnsi="Century Gothic" w:cs="Century Gothic"/>
          <w:sz w:val="22"/>
          <w:szCs w:val="22"/>
        </w:rPr>
        <w:t>Dovato</w:t>
      </w:r>
      <w:proofErr w:type="spellEnd"/>
      <w:r w:rsidR="00A23E72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: antagonistes des récepteurs H2 (anti-H2)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ou </w:t>
      </w:r>
      <w:r>
        <w:rPr>
          <w:rFonts w:ascii="Century Gothic" w:eastAsia="Century Gothic" w:hAnsi="Century Gothic" w:cs="Century Gothic"/>
          <w:sz w:val="22"/>
          <w:szCs w:val="22"/>
        </w:rPr>
        <w:t>inhibiteurs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la pompe à protons (IPP).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Substituer l’antiacide par un anti-H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bscript"/>
        </w:rPr>
        <w:t>2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ou un IPP selon l’indication clinique.</w:t>
      </w:r>
    </w:p>
    <w:p w:rsidR="00B70A42" w:rsidRDefault="007B0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1" w:name="_sjvc89y4iktk" w:colFirst="0" w:colLast="0"/>
      <w:bookmarkEnd w:id="1"/>
      <w:r>
        <w:rPr>
          <w:rFonts w:ascii="Century Gothic" w:eastAsia="Century Gothic" w:hAnsi="Century Gothic" w:cs="Century Gothic"/>
          <w:sz w:val="22"/>
          <w:szCs w:val="22"/>
        </w:rPr>
        <w:t xml:space="preserve">Pour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: antagonistes des récepteurs H2 (anti-H2) administrés 4 heures ou 12 heures après. IPP contre-indiqués.</w:t>
      </w:r>
    </w:p>
    <w:p w:rsidR="00B70A42" w:rsidRDefault="00B70A42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7B08B5">
      <w:pPr>
        <w:widowControl w:val="0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Suivi : </w:t>
      </w:r>
    </w:p>
    <w:p w:rsidR="00B70A42" w:rsidRDefault="007B08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Surveiller l’efficacité thérapeutique du traitement anti-VIH, charge virale et CD4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+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:rsidR="004E1F8D" w:rsidRDefault="004E1F8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:rsidR="00B70A42" w:rsidRDefault="007B08B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bookmarkStart w:id="2" w:name="_GoBack"/>
      <w:bookmarkEnd w:id="2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lastRenderedPageBreak/>
        <w:t xml:space="preserve">Suggestion de la pharmacie ou nouvelle prescription : </w:t>
      </w:r>
    </w:p>
    <w:p w:rsidR="00B70A42" w:rsidRDefault="00B70A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B70A42">
        <w:tc>
          <w:tcPr>
            <w:tcW w:w="9396" w:type="dxa"/>
          </w:tcPr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Date : _____/_____/_____</w:t>
            </w: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Patient(e) : ________________________          DDN : _____/_____/_____</w:t>
            </w: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# Téléphone : _____________________________</w:t>
            </w:r>
          </w:p>
        </w:tc>
      </w:tr>
      <w:tr w:rsidR="00B70A42">
        <w:tc>
          <w:tcPr>
            <w:tcW w:w="9396" w:type="dxa"/>
          </w:tcPr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 : </w:t>
            </w: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Renouvellement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: _____</w:t>
            </w: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Médecin : __________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Numéro de pratique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: __________    Signature : __________</w:t>
            </w: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Adresse : ____________________________________________</w:t>
            </w: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#Téléphone : ____________________     #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Téléccopieur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: ________________</w:t>
            </w:r>
          </w:p>
        </w:tc>
      </w:tr>
      <w:tr w:rsidR="00B70A42">
        <w:tc>
          <w:tcPr>
            <w:tcW w:w="9396" w:type="dxa"/>
          </w:tcPr>
          <w:p w:rsidR="00B70A42" w:rsidRDefault="007B08B5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Certification du prescripteur </w:t>
            </w:r>
          </w:p>
          <w:p w:rsidR="00B70A42" w:rsidRDefault="007B08B5">
            <w:pP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Je certifie que : </w:t>
            </w:r>
          </w:p>
          <w:p w:rsidR="00B70A42" w:rsidRDefault="007B08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cette ordonnance est une ordonnance originale, </w:t>
            </w:r>
          </w:p>
          <w:p w:rsidR="00B70A42" w:rsidRDefault="007B08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le pharmacien identifié précité est le seul destinataire, </w:t>
            </w:r>
          </w:p>
          <w:p w:rsidR="00B70A42" w:rsidRDefault="007B08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l’original ne sera pas réutilisé.</w:t>
            </w:r>
          </w:p>
        </w:tc>
      </w:tr>
    </w:tbl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Veuillez svp nous faire parvenir une copie de cette page avec votre conduite à tenir. 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Si vous avez besoin d’information complémentaire, n’hésitez pas à communiquer avec moi. 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Cordialement, 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Pharmacie : ____________________</w:t>
      </w: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#Téléphone : ____________________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#Télécopieur : ____________________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7B08B5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br w:type="page"/>
      </w:r>
    </w:p>
    <w:p w:rsidR="00B70A42" w:rsidRDefault="007B08B5">
      <w:pPr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Références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: </w:t>
      </w:r>
    </w:p>
    <w:p w:rsidR="00B70A42" w:rsidRDefault="00A23E72">
      <w:pPr>
        <w:numPr>
          <w:ilvl w:val="0"/>
          <w:numId w:val="5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TIVICAY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10, 25 et 50 mg), numéro de contrôle de la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233258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Janvier 2020</w:t>
      </w:r>
      <w:r w:rsidR="007B08B5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B70A42" w:rsidRPr="00624C8C" w:rsidRDefault="007B08B5">
      <w:pPr>
        <w:numPr>
          <w:ilvl w:val="0"/>
          <w:numId w:val="5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624C8C">
        <w:rPr>
          <w:rFonts w:ascii="Century Gothic" w:eastAsia="Century Gothic" w:hAnsi="Century Gothic" w:cs="Century Gothic"/>
          <w:sz w:val="22"/>
          <w:szCs w:val="22"/>
          <w:lang w:val="en-CA"/>
        </w:rPr>
        <w:t>Tivicay</w:t>
      </w:r>
      <w:proofErr w:type="spellEnd"/>
      <w:r w:rsidRPr="00624C8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US Prescribing Information, reference </w:t>
      </w:r>
      <w:proofErr w:type="gramStart"/>
      <w:r w:rsidRPr="00624C8C">
        <w:rPr>
          <w:rFonts w:ascii="Century Gothic" w:eastAsia="Century Gothic" w:hAnsi="Century Gothic" w:cs="Century Gothic"/>
          <w:sz w:val="22"/>
          <w:szCs w:val="22"/>
          <w:lang w:val="en-CA"/>
        </w:rPr>
        <w:t>ID :</w:t>
      </w:r>
      <w:proofErr w:type="gramEnd"/>
      <w:r w:rsidRPr="00624C8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3943644, </w:t>
      </w:r>
      <w:proofErr w:type="spellStart"/>
      <w:r w:rsidRPr="00624C8C">
        <w:rPr>
          <w:rFonts w:ascii="Century Gothic" w:eastAsia="Century Gothic" w:hAnsi="Century Gothic" w:cs="Century Gothic"/>
          <w:sz w:val="22"/>
          <w:szCs w:val="22"/>
          <w:lang w:val="en-CA"/>
        </w:rPr>
        <w:t>Viiv</w:t>
      </w:r>
      <w:proofErr w:type="spellEnd"/>
      <w:r w:rsidRPr="00624C8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Healthcare, June 2016.</w:t>
      </w:r>
    </w:p>
    <w:p w:rsidR="00624C8C" w:rsidRDefault="00624C8C" w:rsidP="00624C8C">
      <w:pPr>
        <w:widowControl w:val="0"/>
        <w:numPr>
          <w:ilvl w:val="0"/>
          <w:numId w:val="5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TRIUMEQ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d’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abacavir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50, 600 et 300 mg respectivement), numéro de contrôle de présentation : 217833,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healthcare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ULC, Québec, Canada, Août 2018. </w:t>
      </w:r>
    </w:p>
    <w:p w:rsidR="00A23E72" w:rsidRPr="00624C8C" w:rsidRDefault="00A23E72" w:rsidP="00624C8C">
      <w:pPr>
        <w:widowControl w:val="0"/>
        <w:numPr>
          <w:ilvl w:val="0"/>
          <w:numId w:val="5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DOVATO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et 300 mg respectivement), numéro de contrôle de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233469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Septembre 2020.</w:t>
      </w:r>
    </w:p>
    <w:p w:rsidR="00B70A42" w:rsidRDefault="00A23E72">
      <w:pPr>
        <w:widowControl w:val="0"/>
        <w:numPr>
          <w:ilvl w:val="0"/>
          <w:numId w:val="5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JULUCA (comprimé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mg et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25 mg), numéro de contrôle de la présentation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: 233259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Février 2020</w:t>
      </w:r>
      <w:r w:rsidR="007B08B5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B70A42" w:rsidRDefault="007B08B5">
      <w:pPr>
        <w:numPr>
          <w:ilvl w:val="0"/>
          <w:numId w:val="5"/>
        </w:numPr>
        <w:contextualSpacing/>
        <w:jc w:val="both"/>
      </w:pPr>
      <w:r w:rsidRPr="00624C8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Patel P, Song I, Borland J, et al. Pharmacokinetics of the HIV integrase inhibitor S/GSK1349572 co-administered with acid-reducing agents and multivitamins in healthy volunteers.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J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Antimicrob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Chemother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2011; 66 (7):1567-72</w:t>
      </w:r>
    </w:p>
    <w:p w:rsidR="00B70A42" w:rsidRDefault="007B08B5">
      <w:pPr>
        <w:numPr>
          <w:ilvl w:val="0"/>
          <w:numId w:val="5"/>
        </w:numPr>
        <w:contextualSpacing/>
      </w:pPr>
      <w:r>
        <w:rPr>
          <w:rFonts w:ascii="Century Gothic" w:eastAsia="Century Gothic" w:hAnsi="Century Gothic" w:cs="Century Gothic"/>
          <w:sz w:val="22"/>
          <w:szCs w:val="22"/>
        </w:rPr>
        <w:t xml:space="preserve">Guide thérapeutique VIH. [En ligne]. Disponible : </w:t>
      </w:r>
      <w:r>
        <w:rPr>
          <w:rFonts w:ascii="Century Gothic" w:eastAsia="Century Gothic" w:hAnsi="Century Gothic" w:cs="Century Gothic"/>
          <w:color w:val="0000FF"/>
          <w:sz w:val="22"/>
          <w:szCs w:val="22"/>
        </w:rPr>
        <w:t>http://www.guidetherapeutiquevih.com</w:t>
      </w:r>
    </w:p>
    <w:sectPr w:rsidR="00B70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A7" w:rsidRDefault="001F72A7">
      <w:r>
        <w:separator/>
      </w:r>
    </w:p>
  </w:endnote>
  <w:endnote w:type="continuationSeparator" w:id="0">
    <w:p w:rsidR="001F72A7" w:rsidRDefault="001F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72" w:rsidRPr="00A23E72" w:rsidRDefault="00A23E72" w:rsidP="00A23E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www.guidetherapeutiqueVIH.com</w:t>
      </w:r>
    </w:hyperlink>
    <w:r>
      <w:rPr>
        <w:color w:val="000000"/>
      </w:rPr>
      <w:t xml:space="preserve">  </w:t>
    </w:r>
    <w:r>
      <w:tab/>
    </w:r>
    <w:r>
      <w:tab/>
      <w:t>Octobre 2020</w:t>
    </w:r>
  </w:p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A7" w:rsidRDefault="001F72A7">
      <w:r>
        <w:separator/>
      </w:r>
    </w:p>
  </w:footnote>
  <w:footnote w:type="continuationSeparator" w:id="0">
    <w:p w:rsidR="001F72A7" w:rsidRDefault="001F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F94"/>
    <w:multiLevelType w:val="multilevel"/>
    <w:tmpl w:val="4F34D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5E19"/>
    <w:multiLevelType w:val="multilevel"/>
    <w:tmpl w:val="6F44F26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F70E5F"/>
    <w:multiLevelType w:val="multilevel"/>
    <w:tmpl w:val="0F76901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Helvetica Neue" w:hAnsi="Century Gothic" w:cs="Helvetica Neu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74F4B"/>
    <w:multiLevelType w:val="multilevel"/>
    <w:tmpl w:val="7CC6315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C955EB5"/>
    <w:multiLevelType w:val="multilevel"/>
    <w:tmpl w:val="220C801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22B35D6"/>
    <w:multiLevelType w:val="multilevel"/>
    <w:tmpl w:val="2CBED6B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ED74EF6"/>
    <w:multiLevelType w:val="multilevel"/>
    <w:tmpl w:val="10562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A42"/>
    <w:rsid w:val="001F72A7"/>
    <w:rsid w:val="004E1F8D"/>
    <w:rsid w:val="00624C8C"/>
    <w:rsid w:val="007B08B5"/>
    <w:rsid w:val="00A20DE0"/>
    <w:rsid w:val="00A23E72"/>
    <w:rsid w:val="00B70A42"/>
    <w:rsid w:val="00D3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C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C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23E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23E72"/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C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C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23E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23E72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Claude</cp:lastModifiedBy>
  <cp:revision>3</cp:revision>
  <dcterms:created xsi:type="dcterms:W3CDTF">2019-03-06T15:10:00Z</dcterms:created>
  <dcterms:modified xsi:type="dcterms:W3CDTF">2020-10-27T14:54:00Z</dcterms:modified>
</cp:coreProperties>
</file>