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6D" w:rsidRDefault="00F32D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4F0F6D" w:rsidRDefault="004F0F6D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Metformine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 w:rsidR="000B639B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0B639B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4F0F6D" w:rsidRDefault="004F0F6D">
      <w:pPr>
        <w:jc w:val="center"/>
        <w:rPr>
          <w:rFonts w:ascii="Century Gothic" w:eastAsia="Century Gothic" w:hAnsi="Century Gothic" w:cs="Century Gothic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: </w:t>
      </w:r>
    </w:p>
    <w:p w:rsidR="004F0F6D" w:rsidRDefault="00F32D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Metformine </w:t>
      </w:r>
      <w:r>
        <w:rPr>
          <w:rFonts w:ascii="Century Gothic" w:eastAsia="Century Gothic" w:hAnsi="Century Gothic" w:cs="Century Gothic"/>
          <w:sz w:val="22"/>
          <w:szCs w:val="22"/>
        </w:rPr>
        <w:t>seule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Glucophage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 ou en combinaison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Janumet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Invokamet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Jentadueto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4F0F6D" w:rsidRDefault="00F32D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: 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</w:t>
      </w: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4F0F6D" w:rsidRDefault="00F32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F0F6D" w:rsidRPr="000B639B" w:rsidRDefault="00F32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B639B" w:rsidRDefault="000B6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4F0F6D" w:rsidRDefault="00F32D00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augmentation du risque d’effets indésirables peut survenir lors de l’administration concomitante de la metformine avec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 Voici pourquoi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1- 1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4F0F6D" w:rsidRDefault="00F32D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est un inhibiteur d</w:t>
      </w:r>
      <w:r>
        <w:rPr>
          <w:rFonts w:ascii="Century Gothic" w:eastAsia="Century Gothic" w:hAnsi="Century Gothic" w:cs="Century Gothic"/>
          <w:sz w:val="22"/>
          <w:szCs w:val="22"/>
        </w:rPr>
        <w:t>es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transporteurs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rénaux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OCT2 et MATE-1.</w:t>
      </w:r>
    </w:p>
    <w:p w:rsidR="004F0F6D" w:rsidRDefault="00F32D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 metformine est u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 substrat de l’OCT2 et MATE-1. </w:t>
      </w:r>
    </w:p>
    <w:p w:rsidR="004F0F6D" w:rsidRDefault="00F32D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 diminuant son élimination rénale, c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es inhibitions peuvent augmenter la concentration plasmatique de la </w:t>
      </w:r>
      <w:r>
        <w:rPr>
          <w:rFonts w:ascii="Century Gothic" w:eastAsia="Century Gothic" w:hAnsi="Century Gothic" w:cs="Century Gothic"/>
          <w:sz w:val="22"/>
          <w:szCs w:val="22"/>
        </w:rPr>
        <w:t>m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etformine et potentiellement le risque d’effets indésirables.</w:t>
      </w:r>
    </w:p>
    <w:p w:rsidR="004F0F6D" w:rsidRDefault="004F0F6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Pour de plus amples informations, voici des études et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un rapport de cas évaluant l’interaction entre la metformine et le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: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widowControl w:val="0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Étude pharmacocinétique 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: </w:t>
      </w:r>
    </w:p>
    <w:p w:rsidR="004F0F6D" w:rsidRDefault="00F32D00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50 mg QD ou 50 mg BID + metformine 500 mg BID :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↑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de 79 % (1,8 x) et de 145 %  (≈ 2,5 x) respectivement de la SSC de la metformine.</w:t>
      </w:r>
    </w:p>
    <w:p w:rsidR="004F0F6D" w:rsidRDefault="004F0F6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widowControl w:val="0"/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Études de cohorte observationnelles 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8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-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4F0F6D" w:rsidRDefault="00F32D00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Selon une analyse rétrospective chez 15 patients, aucun n’a expérimenté d’effets indésirables associés à la  metformine alors qu’ils étaient sous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50 mg DIE 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8</w:t>
      </w:r>
      <w:r>
        <w:rPr>
          <w:rFonts w:ascii="Century Gothic" w:eastAsia="Century Gothic" w:hAnsi="Century Gothic" w:cs="Century Gothic"/>
          <w:sz w:val="22"/>
          <w:szCs w:val="22"/>
        </w:rPr>
        <w:t>. L’auteur de l’étude stipule qu’il n’y avait pas d’évidence sur le risque accru d'évé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nements hypoglycémiques lorsque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était associé à la metformine. Toutefois, il mentionne que des hyperglycémies avaient été observées lorsque les doses de metformine étaient diminuées. À la lumière de ses conclusions, l’auteur recommandait de su</w:t>
      </w:r>
      <w:r>
        <w:rPr>
          <w:rFonts w:ascii="Century Gothic" w:eastAsia="Century Gothic" w:hAnsi="Century Gothic" w:cs="Century Gothic"/>
          <w:sz w:val="22"/>
          <w:szCs w:val="22"/>
        </w:rPr>
        <w:t>rveiller la glycémie et les effets indésirables de la metformine plutôt que diminuer les doses de cette dernière.</w:t>
      </w:r>
    </w:p>
    <w:p w:rsidR="004F0F6D" w:rsidRDefault="004F0F6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Dans une autre cohorte de 19 patients, trois patients ont eu des effets gastro-intestinaux et trois autres ont eu des symptômes d’hypoglycémi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r>
        <w:rPr>
          <w:rFonts w:ascii="Century Gothic" w:eastAsia="Century Gothic" w:hAnsi="Century Gothic" w:cs="Century Gothic"/>
          <w:sz w:val="22"/>
          <w:szCs w:val="22"/>
        </w:rPr>
        <w:t>. Une diminution de la dose de metformine et un arrêt de la metformine a été nécessaire pour 4 patients (2 diminutions + 2 arrêts). Aucun cas d’acidose lactique n’a été rapporté. L’auteur recommande de diminuer empiriquement la dose de metformine lors d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 l’initiation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4F0F6D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numPr>
          <w:ilvl w:val="0"/>
          <w:numId w:val="6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Rapport de cas </w:t>
      </w:r>
      <w:r w:rsidR="000B639B">
        <w:rPr>
          <w:rFonts w:ascii="Century Gothic" w:eastAsia="Century Gothic" w:hAnsi="Century Gothic" w:cs="Century Gothic"/>
          <w:sz w:val="22"/>
          <w:szCs w:val="22"/>
          <w:vertAlign w:val="superscript"/>
        </w:rPr>
        <w:t>10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Un cas d’acidose lactique symptomatique (perte de poids importante) a été rapporté chez une patiente de 77 ans avec insuffisance rénale. Il y a eu amélioration des lactates lorsque la dose de metformine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 été suspendue momentanément et ensuite diminuée à 500 mg BID. L’auteur conclut que l’association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metformine et la présence de l’altération de la fonction rénale ont pu contribuer à l’accumulation de la metformine et à l’acidose lactique </w:t>
      </w:r>
      <w:r>
        <w:rPr>
          <w:rFonts w:ascii="Century Gothic" w:eastAsia="Century Gothic" w:hAnsi="Century Gothic" w:cs="Century Gothic"/>
          <w:sz w:val="22"/>
          <w:szCs w:val="22"/>
        </w:rPr>
        <w:t>symptomatique.</w:t>
      </w:r>
    </w:p>
    <w:p w:rsidR="004F0F6D" w:rsidRDefault="004F0F6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Notez que la monographie américaine suggère de limiter la dose quotidienne de metformine à 1000 mg au début du traitement concomitant avec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2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Options thérapeutiques possibles : </w:t>
      </w:r>
    </w:p>
    <w:p w:rsidR="004F0F6D" w:rsidRDefault="00F32D00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Si le patient reçoit actuellement du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</w:t>
      </w:r>
      <w:r>
        <w:rPr>
          <w:rFonts w:ascii="Century Gothic" w:eastAsia="Century Gothic" w:hAnsi="Century Gothic" w:cs="Century Gothic"/>
          <w:i/>
          <w:sz w:val="22"/>
          <w:szCs w:val="22"/>
        </w:rPr>
        <w:t>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:</w:t>
      </w:r>
    </w:p>
    <w:p w:rsidR="004F0F6D" w:rsidRDefault="00F32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ébuter la metformine à faible dose et augmenter graduellement.</w:t>
      </w:r>
    </w:p>
    <w:p w:rsidR="004F0F6D" w:rsidRDefault="004F0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Si le patient débute ou cesse le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et est sous metformine :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4F0F6D" w:rsidRDefault="00F32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 ajustement de la dose de la metformine peut être envisagé avec un suivi de l’efficacité et des effets indésirables.</w:t>
      </w:r>
    </w:p>
    <w:p w:rsidR="004F0F6D" w:rsidRDefault="004F0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Si le patient est déjà sous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et metformine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: </w:t>
      </w:r>
    </w:p>
    <w:p w:rsidR="004F0F6D" w:rsidRDefault="00F32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xercer un suivi des effets indésirables de la metformine incluant les effets 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ndésirables associés à une acidose lactique.</w:t>
      </w:r>
    </w:p>
    <w:p w:rsidR="004F0F6D" w:rsidRDefault="004F0F6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Dans toutes les circonstances, être davantage vigilant en présence d’une insuffisance rénale ou une condition médicale pouvant modifier la fonction rénale.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Suivi :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</w:t>
      </w:r>
    </w:p>
    <w:p w:rsidR="004F0F6D" w:rsidRDefault="00F32D00">
      <w:pPr>
        <w:numPr>
          <w:ilvl w:val="0"/>
          <w:numId w:val="4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Surveiller la glycémie</w:t>
      </w:r>
    </w:p>
    <w:p w:rsidR="004F0F6D" w:rsidRDefault="00F32D00">
      <w:pPr>
        <w:numPr>
          <w:ilvl w:val="0"/>
          <w:numId w:val="4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Surveiller les signes et symptômes d’effets indésirables associés à la metformine (douleurs abdominales, diarrhées, anorexie, symptômes d’hypoglycémie,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etc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).</w:t>
      </w:r>
    </w:p>
    <w:p w:rsidR="004F0F6D" w:rsidRDefault="00F32D00">
      <w:pPr>
        <w:numPr>
          <w:ilvl w:val="0"/>
          <w:numId w:val="4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Surveiller les signes et symptômes associés à une acidose lactique (nausées, vomissements, douleur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s à l’estomac, perte de poids, grande fatigue,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etc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), particulièrement chez les patients âgés, dénutris ou avec une fonction rénale altérée.</w:t>
      </w:r>
    </w:p>
    <w:p w:rsidR="004F0F6D" w:rsidRDefault="004F0F6D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br w:type="page"/>
      </w:r>
    </w:p>
    <w:p w:rsidR="004F0F6D" w:rsidRDefault="00F32D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Suggestion de la pharmacie ou nouvelle prescription : 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4F0F6D">
        <w:tc>
          <w:tcPr>
            <w:tcW w:w="9396" w:type="dxa"/>
          </w:tcPr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_____          DDN : _____/_____/_____</w:t>
            </w: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Téléphone: _____________________________</w:t>
            </w:r>
          </w:p>
        </w:tc>
      </w:tr>
      <w:tr w:rsidR="004F0F6D">
        <w:tc>
          <w:tcPr>
            <w:tcW w:w="9396" w:type="dxa"/>
          </w:tcPr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4F0F6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4F0F6D" w:rsidRDefault="00F32D0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 : ____________________     #Télécopieur : ________________</w:t>
            </w:r>
          </w:p>
        </w:tc>
      </w:tr>
      <w:tr w:rsidR="004F0F6D">
        <w:tc>
          <w:tcPr>
            <w:tcW w:w="9396" w:type="dxa"/>
          </w:tcPr>
          <w:p w:rsidR="004F0F6D" w:rsidRDefault="00F32D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4F0F6D" w:rsidRDefault="00F32D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4F0F6D" w:rsidRDefault="00F32D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cette ordonnance est une ordonnance originale, </w:t>
            </w:r>
          </w:p>
          <w:p w:rsidR="004F0F6D" w:rsidRDefault="00F32D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le pharmacien identifié précité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est le seul destinataire, </w:t>
            </w:r>
          </w:p>
          <w:p w:rsidR="004F0F6D" w:rsidRDefault="00F32D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l’original ne sera pas réutilisé.</w:t>
            </w:r>
          </w:p>
        </w:tc>
      </w:tr>
    </w:tbl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4F0F6D" w:rsidRDefault="00F32D00">
      <w:pPr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4F0F6D" w:rsidRDefault="000B639B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TIVICAY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10, 25 et 50 mg), numéro de contrôle de la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233258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F32D00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F0F6D" w:rsidRDefault="00F32D00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Tivicay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US Prescribing Information, reference </w:t>
      </w:r>
      <w:proofErr w:type="gram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ID :</w:t>
      </w:r>
      <w:proofErr w:type="gram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3943644,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Viiv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Healthcare, June 2016.</w:t>
      </w:r>
    </w:p>
    <w:p w:rsidR="000B639B" w:rsidRDefault="000B639B" w:rsidP="000B639B">
      <w:pPr>
        <w:widowControl w:val="0"/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TRIUMEQ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50, 600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233245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2020. </w:t>
      </w:r>
    </w:p>
    <w:p w:rsidR="000B639B" w:rsidRPr="000B639B" w:rsidRDefault="000B639B" w:rsidP="000B639B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DOVATO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233469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Septembre 2020.</w:t>
      </w:r>
    </w:p>
    <w:p w:rsidR="004F0F6D" w:rsidRDefault="000B639B">
      <w:pPr>
        <w:widowControl w:val="0"/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JULUCA (comprimé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25 mg), numéro de contrôle de la présentation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: 233259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Février 2020</w:t>
      </w:r>
      <w:bookmarkStart w:id="0" w:name="_GoBack"/>
      <w:bookmarkEnd w:id="0"/>
      <w:r w:rsidR="00F32D00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F0F6D" w:rsidRDefault="00F32D00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Ribera E,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Podzamczer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D. Mechanisms of action, pharmacology and interactions of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Enferm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Infec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Microbiol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Clin. 2015; 33: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suppl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1: 2-8.</w:t>
      </w:r>
    </w:p>
    <w:p w:rsidR="004F0F6D" w:rsidRDefault="00F32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Song IH,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Zong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J, Borland J,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Jen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va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F, Wynne B et al. </w:t>
      </w:r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The Effect of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on the Pharmacokinetics of Metformin in Healthy Subjects.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J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Acquir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Immune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Defic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Syndr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2016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Aug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1; 72(4):400-7.</w:t>
      </w:r>
    </w:p>
    <w:p w:rsidR="004F0F6D" w:rsidRDefault="00F32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Gervasoni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C et al.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&amp; metformin use in a real life cohort.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JAIDS 2017; 75: E24-26.</w:t>
      </w:r>
    </w:p>
    <w:p w:rsidR="004F0F6D" w:rsidRDefault="00F32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</w:t>
      </w:r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asich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A,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Badowski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ME,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Liedtke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MD and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Fulco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PP. Evaluation of the concurrent use of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and metformin in human immunodeficiency virus.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 J STD AIDS 2017; 28(12): 1229-123.</w:t>
      </w:r>
    </w:p>
    <w:p w:rsidR="004F0F6D" w:rsidRDefault="00F32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Naccarato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M,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Yoong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D and Fong IW.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and </w:t>
      </w:r>
      <w:proofErr w:type="gram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metformin :</w:t>
      </w:r>
      <w:proofErr w:type="gram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 case of </w:t>
      </w:r>
      <w:proofErr w:type="spellStart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hyperlactemia</w:t>
      </w:r>
      <w:proofErr w:type="spellEnd"/>
      <w:r w:rsidRPr="000B639B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AIDS 2017; 31(15) : 2176-77.</w:t>
      </w:r>
    </w:p>
    <w:p w:rsidR="004F0F6D" w:rsidRDefault="00F32D00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Cattaneo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D,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Resnati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C,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Rizzardini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G, and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Gervasoni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C. </w:t>
      </w:r>
      <w:proofErr w:type="spell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and metformin: a clinically relevant or just a pharmacokinetic </w:t>
      </w:r>
      <w:proofErr w:type="gramStart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>interaction ?</w:t>
      </w:r>
      <w:proofErr w:type="gramEnd"/>
      <w:r w:rsidRPr="000B639B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AIDS 201</w:t>
      </w:r>
      <w:r>
        <w:rPr>
          <w:rFonts w:ascii="Century Gothic" w:eastAsia="Century Gothic" w:hAnsi="Century Gothic" w:cs="Century Gothic"/>
          <w:sz w:val="22"/>
          <w:szCs w:val="22"/>
        </w:rPr>
        <w:t>8; 20;32(4):532-533</w:t>
      </w:r>
    </w:p>
    <w:p w:rsidR="004F0F6D" w:rsidRDefault="00F32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hyperlink r:id="rId8">
        <w:r>
          <w:rPr>
            <w:rFonts w:ascii="Century Gothic" w:eastAsia="Century Gothic" w:hAnsi="Century Gothic" w:cs="Century Gothic"/>
            <w:color w:val="0563C1"/>
            <w:sz w:val="22"/>
            <w:szCs w:val="22"/>
            <w:u w:val="single"/>
          </w:rPr>
          <w:t>http://www.guidetherapeutiquevih.com</w:t>
        </w:r>
      </w:hyperlink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F0F6D" w:rsidRDefault="00F32D00">
      <w:pPr>
        <w:rPr>
          <w:rFonts w:ascii="Times" w:eastAsia="Times" w:hAnsi="Times" w:cs="Times"/>
          <w:sz w:val="20"/>
          <w:szCs w:val="20"/>
        </w:rPr>
      </w:pPr>
      <w:bookmarkStart w:id="1" w:name="_gjdgxs" w:colFirst="0" w:colLast="0"/>
      <w:bookmarkEnd w:id="1"/>
      <w:r>
        <w:rPr>
          <w:rFonts w:ascii="Helvetica Neue" w:eastAsia="Helvetica Neue" w:hAnsi="Helvetica Neue" w:cs="Helvetica Neue"/>
          <w:color w:val="4B4B4B"/>
          <w:sz w:val="18"/>
          <w:szCs w:val="18"/>
        </w:rPr>
        <w:t> </w:t>
      </w:r>
    </w:p>
    <w:p w:rsidR="004F0F6D" w:rsidRDefault="004F0F6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4F0F6D">
      <w:foot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00" w:rsidRDefault="00F32D00">
      <w:r>
        <w:separator/>
      </w:r>
    </w:p>
  </w:endnote>
  <w:endnote w:type="continuationSeparator" w:id="0">
    <w:p w:rsidR="00F32D00" w:rsidRDefault="00F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9B" w:rsidRPr="000B639B" w:rsidRDefault="000B639B" w:rsidP="000B63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rPr>
        <w:color w:val="000000"/>
      </w:rPr>
      <w:t xml:space="preserve">  </w:t>
    </w:r>
    <w:r>
      <w:tab/>
    </w:r>
    <w:r>
      <w:tab/>
      <w:t>Octobre 2020</w:t>
    </w:r>
  </w:p>
  <w:p w:rsidR="004F0F6D" w:rsidRDefault="004F0F6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00" w:rsidRDefault="00F32D00">
      <w:r>
        <w:separator/>
      </w:r>
    </w:p>
  </w:footnote>
  <w:footnote w:type="continuationSeparator" w:id="0">
    <w:p w:rsidR="00F32D00" w:rsidRDefault="00F3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C3F"/>
    <w:multiLevelType w:val="multilevel"/>
    <w:tmpl w:val="5FDAC5C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8544B2"/>
    <w:multiLevelType w:val="multilevel"/>
    <w:tmpl w:val="546C4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E44F94"/>
    <w:multiLevelType w:val="multilevel"/>
    <w:tmpl w:val="4F34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4403"/>
    <w:multiLevelType w:val="multilevel"/>
    <w:tmpl w:val="DD465A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1533F1"/>
    <w:multiLevelType w:val="multilevel"/>
    <w:tmpl w:val="DAC41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8A47162"/>
    <w:multiLevelType w:val="multilevel"/>
    <w:tmpl w:val="30F6C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7A81FBA"/>
    <w:multiLevelType w:val="multilevel"/>
    <w:tmpl w:val="AA04F9C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AF950BB"/>
    <w:multiLevelType w:val="multilevel"/>
    <w:tmpl w:val="9BFA321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2657691"/>
    <w:multiLevelType w:val="multilevel"/>
    <w:tmpl w:val="CFF2F49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C37028"/>
    <w:multiLevelType w:val="multilevel"/>
    <w:tmpl w:val="EB129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85638"/>
    <w:multiLevelType w:val="multilevel"/>
    <w:tmpl w:val="D6784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0F6D"/>
    <w:rsid w:val="000B639B"/>
    <w:rsid w:val="004F0F6D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63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B639B"/>
  </w:style>
  <w:style w:type="paragraph" w:styleId="Pieddepage">
    <w:name w:val="footer"/>
    <w:basedOn w:val="Normal"/>
    <w:link w:val="PieddepageCar"/>
    <w:uiPriority w:val="99"/>
    <w:unhideWhenUsed/>
    <w:rsid w:val="000B63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39B"/>
  </w:style>
  <w:style w:type="paragraph" w:styleId="Textedebulles">
    <w:name w:val="Balloon Text"/>
    <w:basedOn w:val="Normal"/>
    <w:link w:val="TextedebullesCar"/>
    <w:uiPriority w:val="99"/>
    <w:semiHidden/>
    <w:unhideWhenUsed/>
    <w:rsid w:val="000B63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63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B639B"/>
  </w:style>
  <w:style w:type="paragraph" w:styleId="Pieddepage">
    <w:name w:val="footer"/>
    <w:basedOn w:val="Normal"/>
    <w:link w:val="PieddepageCar"/>
    <w:uiPriority w:val="99"/>
    <w:unhideWhenUsed/>
    <w:rsid w:val="000B63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39B"/>
  </w:style>
  <w:style w:type="paragraph" w:styleId="Textedebulles">
    <w:name w:val="Balloon Text"/>
    <w:basedOn w:val="Normal"/>
    <w:link w:val="TextedebullesCar"/>
    <w:uiPriority w:val="99"/>
    <w:semiHidden/>
    <w:unhideWhenUsed/>
    <w:rsid w:val="000B63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therapeutiquevi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2</cp:revision>
  <dcterms:created xsi:type="dcterms:W3CDTF">2020-10-27T14:59:00Z</dcterms:created>
  <dcterms:modified xsi:type="dcterms:W3CDTF">2020-10-27T15:06:00Z</dcterms:modified>
</cp:coreProperties>
</file>