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3A" w:rsidRDefault="00B6654E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Opinion pharmaceutique </w:t>
      </w:r>
    </w:p>
    <w:p w:rsidR="0013793A" w:rsidRDefault="0013793A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:rsidR="004D7A79" w:rsidRDefault="004D7A79" w:rsidP="004D7A79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Interaction entre calcium, fer et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Tivicay</w:t>
      </w:r>
      <w:proofErr w:type="gramStart"/>
      <w:r>
        <w:rPr>
          <w:rFonts w:ascii="Century Gothic" w:eastAsia="Century Gothic" w:hAnsi="Century Gothic" w:cs="Century Gothic"/>
          <w:b/>
          <w:sz w:val="22"/>
          <w:szCs w:val="22"/>
        </w:rPr>
        <w:t>,Triumeq</w:t>
      </w:r>
      <w:proofErr w:type="spellEnd"/>
      <w:proofErr w:type="gramEnd"/>
      <w:r w:rsidR="00DA3214">
        <w:rPr>
          <w:rFonts w:ascii="Century Gothic" w:eastAsia="Century Gothic" w:hAnsi="Century Gothic" w:cs="Century Gothic"/>
          <w:b/>
          <w:sz w:val="22"/>
          <w:szCs w:val="22"/>
        </w:rPr>
        <w:t xml:space="preserve">, </w:t>
      </w:r>
      <w:proofErr w:type="spellStart"/>
      <w:r w:rsidR="00DA3214">
        <w:rPr>
          <w:rFonts w:ascii="Century Gothic" w:eastAsia="Century Gothic" w:hAnsi="Century Gothic" w:cs="Century Gothic"/>
          <w:b/>
          <w:sz w:val="22"/>
          <w:szCs w:val="22"/>
        </w:rPr>
        <w:t>Dovato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et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)</w:t>
      </w:r>
    </w:p>
    <w:p w:rsidR="004D7A79" w:rsidRDefault="004D7A79" w:rsidP="004D7A79">
      <w:pPr>
        <w:jc w:val="center"/>
        <w:rPr>
          <w:rFonts w:ascii="Century Gothic" w:eastAsia="Century Gothic" w:hAnsi="Century Gothic" w:cs="Century Gothic"/>
        </w:rPr>
      </w:pPr>
    </w:p>
    <w:p w:rsidR="004D7A79" w:rsidRDefault="004D7A79" w:rsidP="004D7A79">
      <w:pPr>
        <w:jc w:val="center"/>
        <w:rPr>
          <w:rFonts w:ascii="Century Gothic" w:eastAsia="Century Gothic" w:hAnsi="Century Gothic" w:cs="Century Gothic"/>
        </w:rPr>
      </w:pPr>
    </w:p>
    <w:p w:rsidR="004D7A79" w:rsidRDefault="004D7A79" w:rsidP="004D7A7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Patient(e) : 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DDN : _____/_____/_____</w:t>
      </w:r>
    </w:p>
    <w:p w:rsidR="004D7A79" w:rsidRDefault="004D7A79" w:rsidP="004D7A7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D7A79" w:rsidRDefault="004D7A79" w:rsidP="004D7A7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Après avoir analysé le dossier de votre patient(e), j’ai relevé un problème relié à sa pharmacothérapie. </w:t>
      </w:r>
    </w:p>
    <w:p w:rsidR="004D7A79" w:rsidRDefault="004D7A79" w:rsidP="004D7A7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D7A79" w:rsidRDefault="004D7A79" w:rsidP="004D7A7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Interaction possible entre 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:rsidR="004D7A79" w:rsidRDefault="004D7A79" w:rsidP="004D7A7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Suppléments </w:t>
      </w:r>
      <w:r>
        <w:rPr>
          <w:rFonts w:ascii="Century Gothic" w:eastAsia="Century Gothic" w:hAnsi="Century Gothic" w:cs="Century Gothic"/>
          <w:sz w:val="22"/>
          <w:szCs w:val="22"/>
        </w:rPr>
        <w:t>en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fer 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:_</w:t>
      </w:r>
      <w:proofErr w:type="gram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_________________________.</w:t>
      </w:r>
    </w:p>
    <w:p w:rsidR="004D7A79" w:rsidRDefault="004D7A79" w:rsidP="004D7A7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Suppléments </w:t>
      </w:r>
      <w:r>
        <w:rPr>
          <w:rFonts w:ascii="Century Gothic" w:eastAsia="Century Gothic" w:hAnsi="Century Gothic" w:cs="Century Gothic"/>
          <w:sz w:val="22"/>
          <w:szCs w:val="22"/>
        </w:rPr>
        <w:t>en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calcium 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:_</w:t>
      </w:r>
      <w:proofErr w:type="gram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____________________.</w:t>
      </w:r>
    </w:p>
    <w:p w:rsidR="004D7A79" w:rsidRDefault="004D7A79" w:rsidP="004D7A7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Et </w:t>
      </w:r>
    </w:p>
    <w:p w:rsidR="004D7A79" w:rsidRDefault="004D7A79" w:rsidP="004D7A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Tivicay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DA3214" w:rsidRDefault="004D7A79" w:rsidP="00DA32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amivudine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bacavir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Triumeq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4D7A79" w:rsidRDefault="00DA3214" w:rsidP="004D7A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amivudine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Dovato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4D7A79" w:rsidRDefault="004D7A79" w:rsidP="004D7A79">
      <w:pPr>
        <w:numPr>
          <w:ilvl w:val="0"/>
          <w:numId w:val="15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4D7A79" w:rsidRDefault="004D7A79" w:rsidP="004D7A7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D7A79" w:rsidRDefault="004D7A79" w:rsidP="004D7A7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Une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↓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de l’efficacité clinique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peut survenir lors de l’administration  avec un supplément à base de fer ou de calcium. Voici pourquoi </w:t>
      </w:r>
      <w:r>
        <w:rPr>
          <w:rFonts w:ascii="Century Gothic" w:eastAsia="Century Gothic" w:hAnsi="Century Gothic" w:cs="Century Gothic"/>
          <w:color w:val="000000"/>
          <w:sz w:val="22"/>
          <w:szCs w:val="22"/>
          <w:vertAlign w:val="superscript"/>
        </w:rPr>
        <w:t>1-</w:t>
      </w:r>
      <w:r w:rsidR="004627B3">
        <w:rPr>
          <w:rFonts w:ascii="Century Gothic" w:eastAsia="Century Gothic" w:hAnsi="Century Gothic" w:cs="Century Gothic"/>
          <w:sz w:val="22"/>
          <w:szCs w:val="22"/>
          <w:vertAlign w:val="superscript"/>
        </w:rPr>
        <w:t>7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 :</w:t>
      </w:r>
    </w:p>
    <w:p w:rsidR="004D7A79" w:rsidRDefault="004D7A79" w:rsidP="004D7A7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Le fer et le calcium sont des cations.</w:t>
      </w:r>
    </w:p>
    <w:p w:rsidR="004D7A79" w:rsidRDefault="004D7A79" w:rsidP="004D7A79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Ces cations peuvent se fixer au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4D7A79" w:rsidRDefault="004D7A79" w:rsidP="004D7A79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Cette chélation peut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↓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son absorption et possiblement son efficacité clinique.</w:t>
      </w:r>
    </w:p>
    <w:p w:rsidR="004D7A79" w:rsidRDefault="004D7A79" w:rsidP="004D7A79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4D7A79" w:rsidRDefault="004D7A79" w:rsidP="004D7A79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Pour de plus amples informations, voici une étude évaluant l’interaction entre les cations et le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  <w:vertAlign w:val="superscript"/>
        </w:rPr>
        <w:t xml:space="preserve"> </w:t>
      </w:r>
      <w:r w:rsidR="004627B3">
        <w:rPr>
          <w:rFonts w:ascii="Century Gothic" w:eastAsia="Century Gothic" w:hAnsi="Century Gothic" w:cs="Century Gothic"/>
          <w:b/>
          <w:color w:val="000000"/>
          <w:sz w:val="22"/>
          <w:szCs w:val="22"/>
          <w:vertAlign w:val="superscript"/>
        </w:rPr>
        <w:t>6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 :</w:t>
      </w:r>
    </w:p>
    <w:p w:rsidR="004D7A79" w:rsidRDefault="004D7A79" w:rsidP="004D7A79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D7A79" w:rsidRDefault="004D7A79" w:rsidP="004D7A7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Si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administré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avec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de la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nourriture : </w:t>
      </w:r>
    </w:p>
    <w:p w:rsidR="004D7A79" w:rsidRDefault="004D7A79" w:rsidP="004D7A79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Prise simultanée avec 1200 mg de carbonate de calcium ou 324 mg de fumarate de fer : les concentrations plasmatiques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sont comparables à celles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pris seul à jeun. </w:t>
      </w:r>
    </w:p>
    <w:p w:rsidR="004D7A79" w:rsidRDefault="004D7A79" w:rsidP="004D7A79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D7A79" w:rsidRDefault="004D7A79" w:rsidP="004D7A7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Si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>administré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à jeun : </w:t>
      </w:r>
    </w:p>
    <w:p w:rsidR="004D7A79" w:rsidRDefault="004D7A79" w:rsidP="004D7A79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Prise simultanée avec 1200 mg de carbonate de calcium ou 324 mg de fumarate de fer : </w:t>
      </w:r>
      <w:r>
        <w:rPr>
          <w:rFonts w:ascii="Noto Sans Symbols" w:eastAsia="Noto Sans Symbols" w:hAnsi="Noto Sans Symbols" w:cs="Noto Sans Symbols"/>
          <w:sz w:val="22"/>
          <w:szCs w:val="22"/>
        </w:rPr>
        <w:t xml:space="preserve">↓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SSC et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Cmin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d’environ 40 % avec le calcium, et d’environ 55%, respectivement avec le fer comparativement à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pris seul à jeun.</w:t>
      </w:r>
    </w:p>
    <w:p w:rsidR="004D7A79" w:rsidRDefault="004D7A79" w:rsidP="004D7A79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  <w:vertAlign w:val="superscript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La prise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, 2 heures avant le fer ou le calcium a permis de contrecarrer l’interaction.</w:t>
      </w:r>
    </w:p>
    <w:p w:rsidR="004D7A79" w:rsidRDefault="004D7A79" w:rsidP="004D7A79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D7A79" w:rsidRDefault="004D7A79" w:rsidP="004D7A79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  <w:vertAlign w:val="superscript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Un ajustement du temps d’administration peut donc être recommandé dépendamment du moment de prise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4D7A79" w:rsidRDefault="004D7A79" w:rsidP="004D7A79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D7A79" w:rsidRDefault="004D7A79" w:rsidP="004D7A79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Les suppléments en fer et en calcium pourraient être évités dans le cas où une résistance au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a été documentée. Exercer une  surveillance plus  étroite de l’efficacité clinique. Un dosage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pourrait également être envisagé. </w:t>
      </w:r>
    </w:p>
    <w:p w:rsidR="004D7A79" w:rsidRDefault="004D7A79" w:rsidP="004D7A79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D7A79" w:rsidRDefault="004D7A79" w:rsidP="004D7A79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D7A79" w:rsidRDefault="004D7A79" w:rsidP="004D7A79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Options thérapeutiques possibles : </w:t>
      </w:r>
    </w:p>
    <w:p w:rsidR="004D7A79" w:rsidRDefault="004D7A79" w:rsidP="004D7A79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4D7A79" w:rsidRDefault="004D7A79" w:rsidP="004D7A79">
      <w:pPr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Tivicay</w:t>
      </w:r>
      <w:proofErr w:type="spellEnd"/>
      <w:r w:rsidR="00DA3214">
        <w:rPr>
          <w:rFonts w:ascii="Century Gothic" w:eastAsia="Century Gothic" w:hAnsi="Century Gothic" w:cs="Century Gothic"/>
          <w:i/>
          <w:sz w:val="22"/>
          <w:szCs w:val="22"/>
        </w:rPr>
        <w:t>,</w:t>
      </w: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Triumeq</w:t>
      </w:r>
      <w:proofErr w:type="spellEnd"/>
      <w:r w:rsidR="00DA3214">
        <w:rPr>
          <w:rFonts w:ascii="Century Gothic" w:eastAsia="Century Gothic" w:hAnsi="Century Gothic" w:cs="Century Gothic"/>
          <w:i/>
          <w:sz w:val="22"/>
          <w:szCs w:val="22"/>
        </w:rPr>
        <w:t xml:space="preserve"> ou </w:t>
      </w:r>
      <w:proofErr w:type="spellStart"/>
      <w:r w:rsidR="00DA3214">
        <w:rPr>
          <w:rFonts w:ascii="Century Gothic" w:eastAsia="Century Gothic" w:hAnsi="Century Gothic" w:cs="Century Gothic"/>
          <w:i/>
          <w:sz w:val="22"/>
          <w:szCs w:val="22"/>
        </w:rPr>
        <w:t>Dovato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>) pris à jeun :</w:t>
      </w:r>
    </w:p>
    <w:p w:rsidR="004D7A79" w:rsidRDefault="004D7A79" w:rsidP="004D7A7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Suggérer de prendre 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>2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heures avant ou 6 heures après un supplément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en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calcium ou </w:t>
      </w:r>
      <w:r>
        <w:rPr>
          <w:rFonts w:ascii="Century Gothic" w:eastAsia="Century Gothic" w:hAnsi="Century Gothic" w:cs="Century Gothic"/>
          <w:sz w:val="22"/>
          <w:szCs w:val="22"/>
        </w:rPr>
        <w:t>en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fer.</w:t>
      </w:r>
    </w:p>
    <w:p w:rsidR="004D7A79" w:rsidRDefault="004D7A79" w:rsidP="004D7A7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Suggérer de prendre 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avec de la nourriture et aucun espacement de dose ne sera nécessaire.</w:t>
      </w:r>
    </w:p>
    <w:p w:rsidR="004D7A79" w:rsidRDefault="004D7A79" w:rsidP="004D7A7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D7A79" w:rsidRDefault="00DA3214" w:rsidP="004D7A79">
      <w:pPr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Tivicay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, </w:t>
      </w:r>
      <w:proofErr w:type="spellStart"/>
      <w:r w:rsidR="004D7A79">
        <w:rPr>
          <w:rFonts w:ascii="Century Gothic" w:eastAsia="Century Gothic" w:hAnsi="Century Gothic" w:cs="Century Gothic"/>
          <w:i/>
          <w:sz w:val="22"/>
          <w:szCs w:val="22"/>
        </w:rPr>
        <w:t>Triumeq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ou 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Dovato</w:t>
      </w:r>
      <w:proofErr w:type="spellEnd"/>
      <w:r w:rsidR="004D7A79">
        <w:rPr>
          <w:rFonts w:ascii="Century Gothic" w:eastAsia="Century Gothic" w:hAnsi="Century Gothic" w:cs="Century Gothic"/>
          <w:i/>
          <w:sz w:val="22"/>
          <w:szCs w:val="22"/>
        </w:rPr>
        <w:t>) pris avec de la nourriture :</w:t>
      </w:r>
    </w:p>
    <w:p w:rsidR="004D7A79" w:rsidRDefault="004D7A79" w:rsidP="004D7A7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peut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être pris </w:t>
      </w:r>
      <w:r>
        <w:rPr>
          <w:rFonts w:ascii="Century Gothic" w:eastAsia="Century Gothic" w:hAnsi="Century Gothic" w:cs="Century Gothic"/>
          <w:sz w:val="22"/>
          <w:szCs w:val="22"/>
        </w:rPr>
        <w:t>en même temps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avec un supplément </w:t>
      </w:r>
      <w:r>
        <w:rPr>
          <w:rFonts w:ascii="Century Gothic" w:eastAsia="Century Gothic" w:hAnsi="Century Gothic" w:cs="Century Gothic"/>
          <w:sz w:val="22"/>
          <w:szCs w:val="22"/>
        </w:rPr>
        <w:t>en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calcium ou </w:t>
      </w:r>
      <w:r>
        <w:rPr>
          <w:rFonts w:ascii="Century Gothic" w:eastAsia="Century Gothic" w:hAnsi="Century Gothic" w:cs="Century Gothic"/>
          <w:sz w:val="22"/>
          <w:szCs w:val="22"/>
        </w:rPr>
        <w:t>en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fer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au moment d’un repas. </w:t>
      </w:r>
    </w:p>
    <w:p w:rsidR="004D7A79" w:rsidRDefault="004D7A79" w:rsidP="004D7A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D7A79" w:rsidRDefault="004D7A79" w:rsidP="004D7A79">
      <w:pPr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Tivicay</w:t>
      </w:r>
      <w:proofErr w:type="spellEnd"/>
      <w:r w:rsidR="00DA3214">
        <w:rPr>
          <w:rFonts w:ascii="Century Gothic" w:eastAsia="Century Gothic" w:hAnsi="Century Gothic" w:cs="Century Gothic"/>
          <w:i/>
          <w:sz w:val="22"/>
          <w:szCs w:val="22"/>
        </w:rPr>
        <w:t xml:space="preserve">, </w:t>
      </w:r>
      <w:proofErr w:type="spellStart"/>
      <w:r w:rsidR="00DA3214">
        <w:rPr>
          <w:rFonts w:ascii="Century Gothic" w:eastAsia="Century Gothic" w:hAnsi="Century Gothic" w:cs="Century Gothic"/>
          <w:i/>
          <w:sz w:val="22"/>
          <w:szCs w:val="22"/>
        </w:rPr>
        <w:t>Triumeq</w:t>
      </w:r>
      <w:proofErr w:type="spellEnd"/>
      <w:r w:rsidR="00DA3214">
        <w:rPr>
          <w:rFonts w:ascii="Century Gothic" w:eastAsia="Century Gothic" w:hAnsi="Century Gothic" w:cs="Century Gothic"/>
          <w:i/>
          <w:sz w:val="22"/>
          <w:szCs w:val="22"/>
        </w:rPr>
        <w:t xml:space="preserve"> ou </w:t>
      </w:r>
      <w:proofErr w:type="spellStart"/>
      <w:r w:rsidR="00DA3214">
        <w:rPr>
          <w:rFonts w:ascii="Century Gothic" w:eastAsia="Century Gothic" w:hAnsi="Century Gothic" w:cs="Century Gothic"/>
          <w:i/>
          <w:sz w:val="22"/>
          <w:szCs w:val="22"/>
        </w:rPr>
        <w:t>Dovato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>) prescrit à 50 mg BID et résistance aux inhibiteurs de l’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intégrase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documentée : </w:t>
      </w:r>
    </w:p>
    <w:p w:rsidR="004D7A79" w:rsidRDefault="004D7A79" w:rsidP="004D7A79">
      <w:pPr>
        <w:numPr>
          <w:ilvl w:val="0"/>
          <w:numId w:val="18"/>
        </w:numP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É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viter la combinaison avec un supplément </w:t>
      </w:r>
      <w:r>
        <w:rPr>
          <w:rFonts w:ascii="Century Gothic" w:eastAsia="Century Gothic" w:hAnsi="Century Gothic" w:cs="Century Gothic"/>
          <w:sz w:val="22"/>
          <w:szCs w:val="22"/>
        </w:rPr>
        <w:t>en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calcium ou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en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fer</w:t>
      </w:r>
      <w:r>
        <w:rPr>
          <w:rFonts w:ascii="Century Gothic" w:eastAsia="Century Gothic" w:hAnsi="Century Gothic" w:cs="Century Gothic"/>
          <w:sz w:val="22"/>
          <w:szCs w:val="22"/>
        </w:rPr>
        <w:t>.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</w:p>
    <w:p w:rsidR="004D7A79" w:rsidRDefault="004D7A79" w:rsidP="004D7A7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Si l’association ne peut être évitée, la prise du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avec de la nourriture devrait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être privilégiée,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effectuer un dosage plasmatique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et exercer un suivi étroit de l’efficacité clinique.</w:t>
      </w:r>
    </w:p>
    <w:p w:rsidR="004D7A79" w:rsidRDefault="004D7A79" w:rsidP="004D7A7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D7A79" w:rsidRDefault="004D7A79" w:rsidP="004D7A7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 pris à jeun.</w:t>
      </w:r>
    </w:p>
    <w:p w:rsidR="004D7A79" w:rsidRDefault="004D7A79" w:rsidP="004D7A79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Suggérer de prendre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4 heures avant ou 6 heures après un supplément en calcium ou en fer.</w:t>
      </w:r>
    </w:p>
    <w:p w:rsidR="004D7A79" w:rsidRDefault="004D7A79" w:rsidP="004D7A79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Suggérer de prendre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avec de la nourriture et aucun espacement de dose ne sera nécessaire.</w:t>
      </w:r>
    </w:p>
    <w:p w:rsidR="004D7A79" w:rsidRDefault="004D7A79" w:rsidP="004D7A7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4D7A79" w:rsidRDefault="004D7A79" w:rsidP="004D7A79">
      <w:pPr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i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i/>
          <w:sz w:val="22"/>
          <w:szCs w:val="22"/>
        </w:rPr>
        <w:t>) pris avec de la nourriture :</w:t>
      </w:r>
    </w:p>
    <w:p w:rsidR="004D7A79" w:rsidRDefault="004D7A79" w:rsidP="004D7A79">
      <w:pPr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peut être pris en même temps avec un supplément en calcium ou en fer au moment d’un repas. </w:t>
      </w:r>
    </w:p>
    <w:p w:rsidR="004D7A79" w:rsidRDefault="004D7A79" w:rsidP="004D7A79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4D7A79" w:rsidRDefault="004D7A79" w:rsidP="004D7A79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Suivi : </w:t>
      </w:r>
    </w:p>
    <w:p w:rsidR="004D7A79" w:rsidRDefault="004D7A79" w:rsidP="004D7A7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Surveiller l’efficacité thérapeutique du traitement anti-VIH, charge virale et CD4+.</w:t>
      </w:r>
    </w:p>
    <w:p w:rsidR="004D7A79" w:rsidRDefault="004D7A79" w:rsidP="004D7A7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Un dosage plasmatique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 peut également être recommandé.</w:t>
      </w:r>
    </w:p>
    <w:p w:rsidR="0013793A" w:rsidRDefault="00B6654E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br w:type="page"/>
      </w:r>
    </w:p>
    <w:p w:rsidR="0013793A" w:rsidRDefault="00B6654E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Suggestion de la pharmacie ou nouvelle prescription</w:t>
      </w:r>
    </w:p>
    <w:p w:rsidR="0013793A" w:rsidRDefault="0013793A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tbl>
      <w:tblPr>
        <w:tblStyle w:val="a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13793A">
        <w:tc>
          <w:tcPr>
            <w:tcW w:w="9396" w:type="dxa"/>
          </w:tcPr>
          <w:p w:rsidR="0013793A" w:rsidRDefault="00B6654E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Date : _____/_____/_____</w:t>
            </w:r>
          </w:p>
          <w:p w:rsidR="0013793A" w:rsidRDefault="00B6654E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Patient(e) : ________________________          DDN : _____/_____/_____</w:t>
            </w:r>
          </w:p>
          <w:p w:rsidR="0013793A" w:rsidRDefault="00B6654E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# Téléphone : _____________________________</w:t>
            </w:r>
          </w:p>
        </w:tc>
      </w:tr>
      <w:tr w:rsidR="0013793A">
        <w:tc>
          <w:tcPr>
            <w:tcW w:w="9396" w:type="dxa"/>
          </w:tcPr>
          <w:p w:rsidR="0013793A" w:rsidRDefault="00B6654E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Rx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 : </w:t>
            </w:r>
          </w:p>
          <w:p w:rsidR="0013793A" w:rsidRDefault="0013793A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13793A" w:rsidRDefault="0013793A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13793A" w:rsidRDefault="0013793A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13793A" w:rsidRDefault="0013793A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13793A" w:rsidRDefault="00B6654E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Ren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 : _____</w:t>
            </w:r>
          </w:p>
          <w:p w:rsidR="0013793A" w:rsidRDefault="0013793A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13793A" w:rsidRDefault="0013793A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13793A" w:rsidRDefault="0013793A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13793A" w:rsidRDefault="00B6654E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Médecin : __________     Licence : __________    Signature : __________</w:t>
            </w:r>
          </w:p>
          <w:p w:rsidR="0013793A" w:rsidRDefault="00B6654E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Adresse : ____________________________________________</w:t>
            </w:r>
          </w:p>
          <w:p w:rsidR="0013793A" w:rsidRDefault="00B6654E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#Téléphone : ____________________     #Télécopieur : ________________</w:t>
            </w:r>
          </w:p>
        </w:tc>
      </w:tr>
      <w:tr w:rsidR="0013793A">
        <w:tc>
          <w:tcPr>
            <w:tcW w:w="9396" w:type="dxa"/>
          </w:tcPr>
          <w:p w:rsidR="0013793A" w:rsidRDefault="00B6654E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Certification du prescripteur </w:t>
            </w:r>
          </w:p>
          <w:p w:rsidR="0013793A" w:rsidRDefault="00B6654E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Je certifie que : </w:t>
            </w:r>
          </w:p>
          <w:p w:rsidR="0013793A" w:rsidRDefault="00B6654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cette ordonnance est une ordonnance originale, </w:t>
            </w:r>
          </w:p>
          <w:p w:rsidR="0013793A" w:rsidRDefault="00B6654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le pharmacien identifié précité est le seul destinataire, </w:t>
            </w:r>
          </w:p>
          <w:p w:rsidR="0013793A" w:rsidRDefault="00B6654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l’original ne sera pas réutilisé.</w:t>
            </w:r>
          </w:p>
        </w:tc>
      </w:tr>
    </w:tbl>
    <w:p w:rsidR="0013793A" w:rsidRDefault="0013793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13793A" w:rsidRDefault="00B6654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Veuillez svp nous faire parvenir une copie de cette page avec votre conduite à tenir. </w:t>
      </w:r>
    </w:p>
    <w:p w:rsidR="0013793A" w:rsidRDefault="0013793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13793A" w:rsidRDefault="00B6654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Si vous avez besoin d’information complémentaire, n’hésitez pas à communiquer avec moi. </w:t>
      </w:r>
    </w:p>
    <w:p w:rsidR="0013793A" w:rsidRDefault="0013793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13793A" w:rsidRDefault="00B6654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Cordialement, </w:t>
      </w:r>
    </w:p>
    <w:p w:rsidR="0013793A" w:rsidRDefault="0013793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13793A" w:rsidRDefault="00B6654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Pharmacien(ne) : 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>Pharmacie : ____________________</w:t>
      </w:r>
    </w:p>
    <w:p w:rsidR="0013793A" w:rsidRDefault="00B6654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#Téléphone : 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>#Télécopieur : ____________________</w:t>
      </w:r>
    </w:p>
    <w:p w:rsidR="0013793A" w:rsidRDefault="0013793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13793A" w:rsidRDefault="00B6654E">
      <w:pPr>
        <w:rPr>
          <w:rFonts w:ascii="Century Gothic" w:eastAsia="Century Gothic" w:hAnsi="Century Gothic" w:cs="Century Gothic"/>
          <w:sz w:val="22"/>
          <w:szCs w:val="22"/>
        </w:rPr>
      </w:pPr>
      <w:r>
        <w:br w:type="page"/>
      </w:r>
    </w:p>
    <w:p w:rsidR="004D7A79" w:rsidRDefault="004D7A79" w:rsidP="004D7A79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b/>
          <w:sz w:val="22"/>
          <w:szCs w:val="22"/>
        </w:rPr>
        <w:t>Références</w:t>
      </w:r>
      <w:proofErr w:type="gram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 : </w:t>
      </w:r>
    </w:p>
    <w:p w:rsidR="004D7A79" w:rsidRDefault="004D7A79" w:rsidP="004627B3">
      <w:pPr>
        <w:numPr>
          <w:ilvl w:val="0"/>
          <w:numId w:val="20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de TIVICAY (comprimés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10, 25 et 50 mg), numéro de contrôle de la présentation : </w:t>
      </w:r>
      <w:r w:rsidR="004627B3" w:rsidRPr="004627B3">
        <w:rPr>
          <w:rFonts w:ascii="Century Gothic" w:eastAsia="Century Gothic" w:hAnsi="Century Gothic" w:cs="Century Gothic"/>
          <w:sz w:val="22"/>
          <w:szCs w:val="22"/>
        </w:rPr>
        <w:t>233258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ViiV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4627B3">
        <w:rPr>
          <w:rFonts w:ascii="Century Gothic" w:eastAsia="Century Gothic" w:hAnsi="Century Gothic" w:cs="Century Gothic"/>
          <w:sz w:val="22"/>
          <w:szCs w:val="22"/>
        </w:rPr>
        <w:t>H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ealthcare ULC, Québec, Canada, </w:t>
      </w:r>
      <w:r w:rsidR="004627B3">
        <w:rPr>
          <w:rFonts w:ascii="Century Gothic" w:eastAsia="Century Gothic" w:hAnsi="Century Gothic" w:cs="Century Gothic"/>
          <w:sz w:val="22"/>
          <w:szCs w:val="22"/>
        </w:rPr>
        <w:t>Janvier 2020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bookmarkStart w:id="0" w:name="_GoBack"/>
      <w:bookmarkEnd w:id="0"/>
    </w:p>
    <w:p w:rsidR="004D7A79" w:rsidRDefault="004D7A79" w:rsidP="004D7A79">
      <w:pPr>
        <w:numPr>
          <w:ilvl w:val="0"/>
          <w:numId w:val="20"/>
        </w:numP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proofErr w:type="spellStart"/>
      <w:r w:rsidRPr="001F6796">
        <w:rPr>
          <w:rFonts w:ascii="Century Gothic" w:eastAsia="Century Gothic" w:hAnsi="Century Gothic" w:cs="Century Gothic"/>
          <w:sz w:val="22"/>
          <w:szCs w:val="22"/>
          <w:lang w:val="en-CA"/>
        </w:rPr>
        <w:t>Tivicay</w:t>
      </w:r>
      <w:proofErr w:type="spellEnd"/>
      <w:r w:rsidRPr="001F6796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, US Prescribing Information, reference </w:t>
      </w:r>
      <w:proofErr w:type="gramStart"/>
      <w:r w:rsidRPr="001F6796">
        <w:rPr>
          <w:rFonts w:ascii="Century Gothic" w:eastAsia="Century Gothic" w:hAnsi="Century Gothic" w:cs="Century Gothic"/>
          <w:sz w:val="22"/>
          <w:szCs w:val="22"/>
          <w:lang w:val="en-CA"/>
        </w:rPr>
        <w:t>ID :</w:t>
      </w:r>
      <w:proofErr w:type="gramEnd"/>
      <w:r w:rsidRPr="001F6796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3943644, </w:t>
      </w:r>
      <w:proofErr w:type="spellStart"/>
      <w:r w:rsidRPr="001F6796">
        <w:rPr>
          <w:rFonts w:ascii="Century Gothic" w:eastAsia="Century Gothic" w:hAnsi="Century Gothic" w:cs="Century Gothic"/>
          <w:sz w:val="22"/>
          <w:szCs w:val="22"/>
          <w:lang w:val="en-CA"/>
        </w:rPr>
        <w:t>Vii</w:t>
      </w:r>
      <w:r w:rsidR="004627B3">
        <w:rPr>
          <w:rFonts w:ascii="Century Gothic" w:eastAsia="Century Gothic" w:hAnsi="Century Gothic" w:cs="Century Gothic"/>
          <w:sz w:val="22"/>
          <w:szCs w:val="22"/>
          <w:lang w:val="en-CA"/>
        </w:rPr>
        <w:t>V</w:t>
      </w:r>
      <w:proofErr w:type="spellEnd"/>
      <w:r w:rsidRPr="001F6796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Healthcare, June 2016.</w:t>
      </w:r>
    </w:p>
    <w:p w:rsidR="004D7A79" w:rsidRDefault="00AA662E" w:rsidP="004627B3">
      <w:pPr>
        <w:widowControl w:val="0"/>
        <w:numPr>
          <w:ilvl w:val="0"/>
          <w:numId w:val="20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de TRIUMEQ (comprimés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, d’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abacavir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lamivudine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50, 600 et 300 mg respectivement), numéro de contrôle de présentation : </w:t>
      </w:r>
      <w:r w:rsidRPr="004627B3">
        <w:rPr>
          <w:rFonts w:ascii="Century Gothic" w:eastAsia="Century Gothic" w:hAnsi="Century Gothic" w:cs="Century Gothic"/>
          <w:sz w:val="22"/>
          <w:szCs w:val="22"/>
        </w:rPr>
        <w:t>233245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ViiV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Healthcare ULC, Québec, Canada, Janvier 2020</w:t>
      </w:r>
      <w:r w:rsidR="004D7A79">
        <w:rPr>
          <w:rFonts w:ascii="Century Gothic" w:eastAsia="Century Gothic" w:hAnsi="Century Gothic" w:cs="Century Gothic"/>
          <w:sz w:val="22"/>
          <w:szCs w:val="22"/>
        </w:rPr>
        <w:t xml:space="preserve">. </w:t>
      </w:r>
    </w:p>
    <w:p w:rsidR="004627B3" w:rsidRPr="004627B3" w:rsidRDefault="004627B3" w:rsidP="004627B3">
      <w:pPr>
        <w:widowControl w:val="0"/>
        <w:numPr>
          <w:ilvl w:val="0"/>
          <w:numId w:val="20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de </w:t>
      </w:r>
      <w:r>
        <w:rPr>
          <w:rFonts w:ascii="Century Gothic" w:eastAsia="Century Gothic" w:hAnsi="Century Gothic" w:cs="Century Gothic"/>
          <w:sz w:val="22"/>
          <w:szCs w:val="22"/>
        </w:rPr>
        <w:t>DOVATO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(comprimés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lamivudine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50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et 300 mg respectivement), numéro de contrôle de présentation : </w:t>
      </w:r>
      <w:r w:rsidRPr="004627B3">
        <w:rPr>
          <w:rFonts w:ascii="Century Gothic" w:eastAsia="Century Gothic" w:hAnsi="Century Gothic" w:cs="Century Gothic"/>
          <w:sz w:val="22"/>
          <w:szCs w:val="22"/>
        </w:rPr>
        <w:t>233469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ViiV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Healthcare ULC, Québec, Canada, </w:t>
      </w:r>
      <w:r>
        <w:rPr>
          <w:rFonts w:ascii="Century Gothic" w:eastAsia="Century Gothic" w:hAnsi="Century Gothic" w:cs="Century Gothic"/>
          <w:sz w:val="22"/>
          <w:szCs w:val="22"/>
        </w:rPr>
        <w:t>Septembre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2020. </w:t>
      </w:r>
    </w:p>
    <w:p w:rsidR="004D7A79" w:rsidRPr="00154087" w:rsidRDefault="00740D4C" w:rsidP="004627B3">
      <w:pPr>
        <w:widowControl w:val="0"/>
        <w:numPr>
          <w:ilvl w:val="0"/>
          <w:numId w:val="20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de JULUCA (comprimé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50 mg et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à 25 mg), numéro de contrôle de la présentation </w:t>
      </w:r>
      <w:r w:rsidRPr="004627B3">
        <w:rPr>
          <w:rFonts w:ascii="Century Gothic" w:eastAsia="Century Gothic" w:hAnsi="Century Gothic" w:cs="Century Gothic"/>
          <w:sz w:val="22"/>
          <w:szCs w:val="22"/>
        </w:rPr>
        <w:t>: 233259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ViiV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Healthcare ULC, Québec, Canada, Février 2020</w:t>
      </w:r>
      <w:r w:rsidR="004D7A79"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4D7A79" w:rsidRDefault="004D7A79" w:rsidP="004D7A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1F679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Song I, Borland J, Arya N, et al. Pharmacokinetics of </w:t>
      </w:r>
      <w:proofErr w:type="spellStart"/>
      <w:r w:rsidRPr="001F6796">
        <w:rPr>
          <w:rFonts w:ascii="Century Gothic" w:eastAsia="Century Gothic" w:hAnsi="Century Gothic" w:cs="Century Gothic"/>
          <w:sz w:val="22"/>
          <w:szCs w:val="22"/>
          <w:lang w:val="en-CA"/>
        </w:rPr>
        <w:t>Dolutégravir</w:t>
      </w:r>
      <w:proofErr w:type="spellEnd"/>
      <w:r w:rsidRPr="001F679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When Administered With Mineral Supplements in Healthy Adult Subjects.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The Journal of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Clinical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Pharmacology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2015, 55(5) 490-496</w:t>
      </w:r>
    </w:p>
    <w:p w:rsidR="004D7A79" w:rsidRDefault="004D7A79" w:rsidP="004D7A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Guide thérapeutique VIH. [En ligne]. Disponible : </w:t>
      </w:r>
      <w:r>
        <w:rPr>
          <w:rFonts w:ascii="Century Gothic" w:eastAsia="Century Gothic" w:hAnsi="Century Gothic" w:cs="Century Gothic"/>
          <w:color w:val="0000FF"/>
          <w:sz w:val="22"/>
          <w:szCs w:val="22"/>
        </w:rPr>
        <w:t xml:space="preserve">http://www.guidetherapeutiquevih.com </w:t>
      </w:r>
    </w:p>
    <w:p w:rsidR="0013793A" w:rsidRDefault="0013793A" w:rsidP="004D7A79">
      <w:pPr>
        <w:jc w:val="both"/>
        <w:rPr>
          <w:color w:val="000000"/>
        </w:rPr>
      </w:pPr>
    </w:p>
    <w:sectPr w:rsidR="0013793A">
      <w:footerReference w:type="default" r:id="rId8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42" w:rsidRDefault="00B02842">
      <w:r>
        <w:separator/>
      </w:r>
    </w:p>
  </w:endnote>
  <w:endnote w:type="continuationSeparator" w:id="0">
    <w:p w:rsidR="00B02842" w:rsidRDefault="00B0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3A" w:rsidRDefault="00B028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hyperlink r:id="rId1">
      <w:r w:rsidR="00B6654E">
        <w:rPr>
          <w:color w:val="0563C1"/>
          <w:u w:val="single"/>
        </w:rPr>
        <w:t>www.guidetherapeutiqueVIH.com</w:t>
      </w:r>
    </w:hyperlink>
    <w:r w:rsidR="00B6654E">
      <w:rPr>
        <w:color w:val="000000"/>
      </w:rPr>
      <w:t xml:space="preserve">  </w:t>
    </w:r>
    <w:r w:rsidR="00B6654E">
      <w:tab/>
    </w:r>
    <w:r w:rsidR="00B6654E">
      <w:tab/>
    </w:r>
    <w:r w:rsidR="004627B3">
      <w:t>Octobre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42" w:rsidRDefault="00B02842">
      <w:r>
        <w:separator/>
      </w:r>
    </w:p>
  </w:footnote>
  <w:footnote w:type="continuationSeparator" w:id="0">
    <w:p w:rsidR="00B02842" w:rsidRDefault="00B02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C3F"/>
    <w:multiLevelType w:val="multilevel"/>
    <w:tmpl w:val="5FDAC5CC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E95A50"/>
    <w:multiLevelType w:val="multilevel"/>
    <w:tmpl w:val="068222D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0D4BF6"/>
    <w:multiLevelType w:val="multilevel"/>
    <w:tmpl w:val="BFC46B90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6B7259"/>
    <w:multiLevelType w:val="multilevel"/>
    <w:tmpl w:val="209C7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21845E7"/>
    <w:multiLevelType w:val="multilevel"/>
    <w:tmpl w:val="EDA221C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6E44F94"/>
    <w:multiLevelType w:val="multilevel"/>
    <w:tmpl w:val="4F34D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D1FDF"/>
    <w:multiLevelType w:val="multilevel"/>
    <w:tmpl w:val="D4EA9926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4476F4D"/>
    <w:multiLevelType w:val="multilevel"/>
    <w:tmpl w:val="68AE69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nsid w:val="367A2AB7"/>
    <w:multiLevelType w:val="multilevel"/>
    <w:tmpl w:val="DE805F7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E1976E6"/>
    <w:multiLevelType w:val="multilevel"/>
    <w:tmpl w:val="35CC4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A8A5EC1"/>
    <w:multiLevelType w:val="multilevel"/>
    <w:tmpl w:val="AFE6A80A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5961482"/>
    <w:multiLevelType w:val="multilevel"/>
    <w:tmpl w:val="F3244958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6B4058D"/>
    <w:multiLevelType w:val="multilevel"/>
    <w:tmpl w:val="3ADA2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D3849"/>
    <w:multiLevelType w:val="multilevel"/>
    <w:tmpl w:val="112ADEC0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4346141"/>
    <w:multiLevelType w:val="multilevel"/>
    <w:tmpl w:val="9C3AF574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D3A07D4"/>
    <w:multiLevelType w:val="multilevel"/>
    <w:tmpl w:val="23C6D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04C6497"/>
    <w:multiLevelType w:val="multilevel"/>
    <w:tmpl w:val="809A0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05B32B9"/>
    <w:multiLevelType w:val="multilevel"/>
    <w:tmpl w:val="23CCD542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23079DE"/>
    <w:multiLevelType w:val="multilevel"/>
    <w:tmpl w:val="123AB902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3C21EFC"/>
    <w:multiLevelType w:val="multilevel"/>
    <w:tmpl w:val="CD888242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2"/>
  </w:num>
  <w:num w:numId="5">
    <w:abstractNumId w:val="19"/>
  </w:num>
  <w:num w:numId="6">
    <w:abstractNumId w:val="9"/>
  </w:num>
  <w:num w:numId="7">
    <w:abstractNumId w:val="17"/>
  </w:num>
  <w:num w:numId="8">
    <w:abstractNumId w:val="18"/>
  </w:num>
  <w:num w:numId="9">
    <w:abstractNumId w:val="0"/>
  </w:num>
  <w:num w:numId="10">
    <w:abstractNumId w:val="10"/>
  </w:num>
  <w:num w:numId="11">
    <w:abstractNumId w:val="4"/>
  </w:num>
  <w:num w:numId="12">
    <w:abstractNumId w:val="12"/>
  </w:num>
  <w:num w:numId="13">
    <w:abstractNumId w:val="14"/>
  </w:num>
  <w:num w:numId="14">
    <w:abstractNumId w:val="3"/>
  </w:num>
  <w:num w:numId="15">
    <w:abstractNumId w:val="7"/>
  </w:num>
  <w:num w:numId="16">
    <w:abstractNumId w:val="16"/>
  </w:num>
  <w:num w:numId="17">
    <w:abstractNumId w:val="15"/>
  </w:num>
  <w:num w:numId="18">
    <w:abstractNumId w:val="11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793A"/>
    <w:rsid w:val="0013793A"/>
    <w:rsid w:val="004627B3"/>
    <w:rsid w:val="004D7A79"/>
    <w:rsid w:val="00740D4C"/>
    <w:rsid w:val="00930632"/>
    <w:rsid w:val="00AA662E"/>
    <w:rsid w:val="00B02842"/>
    <w:rsid w:val="00B6654E"/>
    <w:rsid w:val="00DA3214"/>
    <w:rsid w:val="00F9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D7A7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D7A79"/>
  </w:style>
  <w:style w:type="paragraph" w:styleId="Pieddepage">
    <w:name w:val="footer"/>
    <w:basedOn w:val="Normal"/>
    <w:link w:val="PieddepageCar"/>
    <w:uiPriority w:val="99"/>
    <w:unhideWhenUsed/>
    <w:rsid w:val="004D7A7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7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D7A7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D7A79"/>
  </w:style>
  <w:style w:type="paragraph" w:styleId="Pieddepage">
    <w:name w:val="footer"/>
    <w:basedOn w:val="Normal"/>
    <w:link w:val="PieddepageCar"/>
    <w:uiPriority w:val="99"/>
    <w:unhideWhenUsed/>
    <w:rsid w:val="004D7A7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848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Pichette</dc:creator>
  <cp:lastModifiedBy>Claude</cp:lastModifiedBy>
  <cp:revision>3</cp:revision>
  <dcterms:created xsi:type="dcterms:W3CDTF">2020-10-27T14:13:00Z</dcterms:created>
  <dcterms:modified xsi:type="dcterms:W3CDTF">2020-10-27T15:12:00Z</dcterms:modified>
</cp:coreProperties>
</file>