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CC" w:rsidRDefault="005547F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3471CC" w:rsidRDefault="003471C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entre Millepertuis (</w:t>
      </w:r>
      <w:proofErr w:type="spellStart"/>
      <w:r>
        <w:rPr>
          <w:rFonts w:ascii="Century Gothic" w:eastAsia="Century Gothic" w:hAnsi="Century Gothic" w:cs="Century Gothic"/>
          <w:b/>
          <w:i/>
          <w:sz w:val="22"/>
          <w:szCs w:val="22"/>
        </w:rPr>
        <w:t>Hypericum</w:t>
      </w:r>
      <w:proofErr w:type="spellEnd"/>
      <w:r>
        <w:rPr>
          <w:rFonts w:ascii="Century Gothic" w:eastAsia="Century Gothic" w:hAnsi="Century Gothic" w:cs="Century Gothic"/>
          <w:b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2"/>
          <w:szCs w:val="22"/>
        </w:rPr>
        <w:t>perforatum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</w:p>
    <w:p w:rsidR="003471CC" w:rsidRDefault="005547F1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et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364FED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364FED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3471CC" w:rsidRDefault="003471CC">
      <w:pPr>
        <w:jc w:val="center"/>
        <w:rPr>
          <w:rFonts w:ascii="Century Gothic" w:eastAsia="Century Gothic" w:hAnsi="Century Gothic" w:cs="Century Gothic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entre :</w:t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Millepertuis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Hypericum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perforatum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3471CC" w:rsidRDefault="005547F1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3471CC" w:rsidRPr="00364FED" w:rsidRDefault="005547F1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364FED" w:rsidRDefault="00364FED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3471CC" w:rsidRDefault="005547F1">
      <w:pPr>
        <w:numPr>
          <w:ilvl w:val="0"/>
          <w:numId w:val="3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diminution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peut survenir lors de l’administration concomitante avec le millepertuis. Voici pourquoi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364FED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3471CC" w:rsidRDefault="005547F1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Le millepertuis est un inducteur enzymatique du CYP-3A4.</w:t>
      </w:r>
    </w:p>
    <w:p w:rsidR="003471CC" w:rsidRDefault="005547F1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métabolisme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implique le CYP-3A4.</w:t>
      </w:r>
    </w:p>
    <w:p w:rsidR="003471CC" w:rsidRDefault="005547F1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L’inductio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peut diminuer la concentration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son efficacité clinique.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0" w:name="_rcnugszg9b0m" w:colFirst="0" w:colLast="0"/>
      <w:bookmarkEnd w:id="0"/>
      <w:r>
        <w:rPr>
          <w:rFonts w:ascii="Century Gothic" w:eastAsia="Century Gothic" w:hAnsi="Century Gothic" w:cs="Century Gothic"/>
          <w:sz w:val="22"/>
          <w:szCs w:val="22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-administration n’a pas été étudiée. </w:t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1" w:name="_nhug0ifof7j1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 xml:space="preserve">Cependant, selon la monographie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une réduction semblable aux réductions engendrées par l’interaction entre la Ca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rbamazépine et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attendue. Il y aurait donc une réduction de la surface sous la courbe (SSC)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49 %. </w:t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bookmarkStart w:id="2" w:name="_gjdgxs" w:colFirst="0" w:colLast="0"/>
      <w:bookmarkEnd w:id="2"/>
      <w:r>
        <w:rPr>
          <w:rFonts w:ascii="Century Gothic" w:eastAsia="Century Gothic" w:hAnsi="Century Gothic" w:cs="Century Gothic"/>
          <w:sz w:val="22"/>
          <w:szCs w:val="22"/>
        </w:rPr>
        <w:t>La monographie américaine recommande d’éviter l’association, alors que les lignes directrices européennes suggèrent de modifier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posologie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BID au lieu de 50 mg DIE dans le cas où le patient n’est pas résistant aux inhibiteurs de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intégrase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(INI).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364FED">
        <w:rPr>
          <w:rFonts w:ascii="Century Gothic" w:eastAsia="Century Gothic" w:hAnsi="Century Gothic" w:cs="Century Gothic"/>
          <w:sz w:val="22"/>
          <w:szCs w:val="22"/>
          <w:vertAlign w:val="superscript"/>
        </w:rPr>
        <w:t>5</w:t>
      </w:r>
    </w:p>
    <w:p w:rsidR="003471CC" w:rsidRDefault="003471CC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Options thérapeutiques possibles 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:rsidR="003471CC" w:rsidRDefault="005547F1">
      <w:pPr>
        <w:spacing w:before="200"/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>1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>-2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: </w:t>
      </w:r>
    </w:p>
    <w:p w:rsidR="003471CC" w:rsidRDefault="005547F1">
      <w:pPr>
        <w:spacing w:before="200"/>
        <w:ind w:left="720"/>
        <w:jc w:val="both"/>
        <w:rPr>
          <w:rFonts w:ascii="Century Gothic" w:eastAsia="Century Gothic" w:hAnsi="Century Gothic" w:cs="Century Gothic"/>
          <w:b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naïf aux INI :</w:t>
      </w:r>
    </w:p>
    <w:p w:rsidR="003471CC" w:rsidRDefault="005547F1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Envisager de changer le millepertuis pour un ISRS ou autres : ____________________________.</w:t>
      </w:r>
    </w:p>
    <w:p w:rsidR="003471CC" w:rsidRPr="00364FED" w:rsidRDefault="005547F1" w:rsidP="00364FED">
      <w:pPr>
        <w:numPr>
          <w:ilvl w:val="0"/>
          <w:numId w:val="6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Augmenter la fréquence d’administration 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BID.</w:t>
      </w:r>
    </w:p>
    <w:p w:rsidR="003471CC" w:rsidRDefault="005547F1">
      <w:pPr>
        <w:spacing w:before="200"/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Chez un patient avec résistance aux INI documentée ou signes et symptômes cliniques d’échec à </w:t>
      </w:r>
      <w:r>
        <w:rPr>
          <w:rFonts w:ascii="Century Gothic" w:eastAsia="Century Gothic" w:hAnsi="Century Gothic" w:cs="Century Gothic"/>
          <w:i/>
          <w:sz w:val="22"/>
          <w:szCs w:val="22"/>
        </w:rPr>
        <w:t>la thérapie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3471CC" w:rsidRDefault="005547F1">
      <w:pPr>
        <w:numPr>
          <w:ilvl w:val="1"/>
          <w:numId w:val="4"/>
        </w:numPr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Envisager de changer le millepertuis pour un ISRS ou autres : ____________________________.</w:t>
      </w:r>
    </w:p>
    <w:p w:rsidR="003471CC" w:rsidRDefault="005547F1">
      <w:pPr>
        <w:numPr>
          <w:ilvl w:val="1"/>
          <w:numId w:val="4"/>
        </w:numPr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____________________________.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3" w:name="_hnd1czebm4o1" w:colFirst="0" w:colLast="0"/>
      <w:bookmarkEnd w:id="3"/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4" w:name="_yg1al7z4g3w1" w:colFirst="0" w:colLast="0"/>
      <w:bookmarkEnd w:id="4"/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 w:rsidR="00364FED">
        <w:rPr>
          <w:rFonts w:ascii="Century Gothic" w:eastAsia="Century Gothic" w:hAnsi="Century Gothic" w:cs="Century Gothic"/>
          <w:b/>
          <w:sz w:val="22"/>
          <w:szCs w:val="22"/>
        </w:rPr>
        <w:t xml:space="preserve"> ou </w:t>
      </w:r>
      <w:proofErr w:type="spellStart"/>
      <w:r w:rsidR="00364FED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  <w:r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>3</w:t>
      </w:r>
      <w:r w:rsidR="00364FED"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>-4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3471CC" w:rsidRDefault="005547F1">
      <w:pPr>
        <w:spacing w:before="200"/>
        <w:ind w:left="720"/>
        <w:jc w:val="both"/>
        <w:rPr>
          <w:rFonts w:ascii="Century Gothic" w:eastAsia="Century Gothic" w:hAnsi="Century Gothic" w:cs="Century Gothic"/>
          <w:b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naïf a</w:t>
      </w:r>
      <w:r>
        <w:rPr>
          <w:rFonts w:ascii="Century Gothic" w:eastAsia="Century Gothic" w:hAnsi="Century Gothic" w:cs="Century Gothic"/>
          <w:i/>
          <w:sz w:val="22"/>
          <w:szCs w:val="22"/>
        </w:rPr>
        <w:t>ux INI :</w:t>
      </w:r>
    </w:p>
    <w:p w:rsidR="003471CC" w:rsidRDefault="005547F1">
      <w:pPr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Envisager de changer le millepertuis pour un ISRS ou autres : ____________________________.</w:t>
      </w:r>
    </w:p>
    <w:p w:rsidR="003471CC" w:rsidRDefault="005547F1">
      <w:pPr>
        <w:numPr>
          <w:ilvl w:val="0"/>
          <w:numId w:val="6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Ajouter une dose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à 50 mg 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espacer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de 12 heures de la  prise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 w:rsidR="00364FED">
        <w:rPr>
          <w:rFonts w:ascii="Century Gothic" w:eastAsia="Century Gothic" w:hAnsi="Century Gothic" w:cs="Century Gothic"/>
          <w:sz w:val="22"/>
          <w:szCs w:val="22"/>
        </w:rPr>
        <w:t xml:space="preserve"> ou du </w:t>
      </w:r>
      <w:proofErr w:type="spellStart"/>
      <w:r w:rsidR="00364FED"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3471CC" w:rsidRDefault="005547F1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Chez un patient avec résistance aux INI documentée ou s</w:t>
      </w:r>
      <w:r>
        <w:rPr>
          <w:rFonts w:ascii="Century Gothic" w:eastAsia="Century Gothic" w:hAnsi="Century Gothic" w:cs="Century Gothic"/>
          <w:i/>
          <w:sz w:val="22"/>
          <w:szCs w:val="22"/>
        </w:rPr>
        <w:t>ignes et symptômes cliniques d’échec à la thérapie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3471CC" w:rsidRDefault="005547F1">
      <w:pPr>
        <w:numPr>
          <w:ilvl w:val="1"/>
          <w:numId w:val="4"/>
        </w:numPr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Envisager de changer le millepertuis pour un ISRS ou autres : ____________________________.</w:t>
      </w:r>
    </w:p>
    <w:p w:rsidR="003471CC" w:rsidRDefault="005547F1">
      <w:pPr>
        <w:numPr>
          <w:ilvl w:val="1"/>
          <w:numId w:val="4"/>
        </w:numPr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____________________________.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5" w:name="_hutll47lz0p0" w:colFirst="0" w:colLast="0"/>
      <w:bookmarkEnd w:id="5"/>
    </w:p>
    <w:p w:rsidR="003471CC" w:rsidRDefault="005547F1" w:rsidP="00364FED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>Rilpivirine</w:t>
      </w:r>
      <w:proofErr w:type="spellEnd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 w:rsidRPr="00364FED">
        <w:rPr>
          <w:rFonts w:ascii="Century Gothic" w:eastAsia="Century Gothic" w:hAnsi="Century Gothic" w:cs="Century Gothic"/>
          <w:b/>
          <w:sz w:val="22"/>
          <w:szCs w:val="22"/>
        </w:rPr>
        <w:t xml:space="preserve">) </w:t>
      </w:r>
      <w:r w:rsidR="00364FED" w:rsidRPr="00364FED">
        <w:rPr>
          <w:rFonts w:ascii="Century Gothic" w:eastAsia="Century Gothic" w:hAnsi="Century Gothic" w:cs="Century Gothic"/>
          <w:sz w:val="22"/>
          <w:szCs w:val="22"/>
          <w:vertAlign w:val="superscript"/>
        </w:rPr>
        <w:t>5</w:t>
      </w:r>
      <w:r w:rsidRPr="00364FED">
        <w:rPr>
          <w:rFonts w:ascii="Century Gothic" w:eastAsia="Century Gothic" w:hAnsi="Century Gothic" w:cs="Century Gothic"/>
          <w:sz w:val="22"/>
          <w:szCs w:val="22"/>
        </w:rPr>
        <w:t xml:space="preserve"> :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</w:p>
    <w:p w:rsidR="003471CC" w:rsidRDefault="005547F1">
      <w:pPr>
        <w:spacing w:before="200"/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** L’association est contre-indiquée avec le millepertuis **</w:t>
      </w:r>
    </w:p>
    <w:p w:rsidR="003471CC" w:rsidRDefault="005547F1" w:rsidP="00364FED">
      <w:pPr>
        <w:numPr>
          <w:ilvl w:val="0"/>
          <w:numId w:val="7"/>
        </w:numPr>
        <w:spacing w:before="200"/>
        <w:ind w:left="1418" w:hanging="284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Envisager de changer le millepertuis pour un ISRS ou autres : ____________________________.</w:t>
      </w:r>
    </w:p>
    <w:p w:rsidR="003471CC" w:rsidRDefault="005547F1" w:rsidP="00364FED">
      <w:pPr>
        <w:numPr>
          <w:ilvl w:val="0"/>
          <w:numId w:val="7"/>
        </w:numPr>
        <w:ind w:left="1418" w:hanging="284"/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Envisager de changer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 un autre antirétroviral : ____________________________.</w:t>
      </w:r>
    </w:p>
    <w:p w:rsidR="003471CC" w:rsidRDefault="00347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:rsidR="003471CC" w:rsidRDefault="00554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thérapeutique du traitement anti-VIH, charge virale et CD4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+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3471CC" w:rsidRDefault="005547F1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Suggestion de la pharmacie ou nouvelle prescription :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3471CC">
        <w:tc>
          <w:tcPr>
            <w:tcW w:w="9396" w:type="dxa"/>
          </w:tcPr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3471CC">
        <w:tc>
          <w:tcPr>
            <w:tcW w:w="9396" w:type="dxa"/>
          </w:tcPr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3471CC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3471CC" w:rsidRDefault="005547F1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 : ________________</w:t>
            </w:r>
          </w:p>
        </w:tc>
      </w:tr>
      <w:tr w:rsidR="003471CC">
        <w:tc>
          <w:tcPr>
            <w:tcW w:w="9396" w:type="dxa"/>
          </w:tcPr>
          <w:p w:rsidR="003471CC" w:rsidRDefault="005547F1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3471CC" w:rsidRDefault="005547F1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Je certifie que 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: </w:t>
            </w:r>
          </w:p>
          <w:p w:rsidR="003471CC" w:rsidRDefault="005547F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cette ordonnance est une ordonnance originale, </w:t>
            </w:r>
          </w:p>
          <w:p w:rsidR="003471CC" w:rsidRDefault="005547F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 pharmacien identifié précité est le seul destinataire, </w:t>
            </w:r>
          </w:p>
          <w:p w:rsidR="003471CC" w:rsidRDefault="005547F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l’original ne sera pas réutilisé.</w:t>
            </w:r>
          </w:p>
        </w:tc>
      </w:tr>
    </w:tbl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3471CC" w:rsidRDefault="003471CC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3471CC" w:rsidRDefault="005547F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3471CC" w:rsidRDefault="005547F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</w:t>
      </w:r>
      <w:r>
        <w:rPr>
          <w:rFonts w:ascii="Century Gothic" w:eastAsia="Century Gothic" w:hAnsi="Century Gothic" w:cs="Century Gothic"/>
          <w:b/>
          <w:sz w:val="22"/>
          <w:szCs w:val="22"/>
        </w:rPr>
        <w:t>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> 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3471CC" w:rsidRDefault="00364FED">
      <w:pPr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bookmarkStart w:id="6" w:name="_GoBack"/>
      <w:bookmarkEnd w:id="6"/>
      <w:r w:rsidR="005547F1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3471CC" w:rsidRPr="00364FED" w:rsidRDefault="005547F1">
      <w:pPr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Tivicay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US Prescribing Information, reference </w:t>
      </w:r>
      <w:proofErr w:type="gram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ID :</w:t>
      </w:r>
      <w:proofErr w:type="gram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3943644, </w:t>
      </w: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Viiv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Healthcare, June 2016.</w:t>
      </w:r>
    </w:p>
    <w:p w:rsidR="00364FED" w:rsidRDefault="00364FED" w:rsidP="00364FED">
      <w:pPr>
        <w:widowControl w:val="0"/>
        <w:numPr>
          <w:ilvl w:val="0"/>
          <w:numId w:val="8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233245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2020. </w:t>
      </w:r>
    </w:p>
    <w:p w:rsidR="00364FED" w:rsidRPr="004627B3" w:rsidRDefault="00364FED" w:rsidP="00364FED">
      <w:pPr>
        <w:widowControl w:val="0"/>
        <w:numPr>
          <w:ilvl w:val="0"/>
          <w:numId w:val="8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DOVATO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Septembre 2020. </w:t>
      </w:r>
    </w:p>
    <w:p w:rsidR="003471CC" w:rsidRPr="00364FED" w:rsidRDefault="00364FED" w:rsidP="00364FED">
      <w:pPr>
        <w:widowControl w:val="0"/>
        <w:numPr>
          <w:ilvl w:val="0"/>
          <w:numId w:val="8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: 233259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Février 2020.</w:t>
      </w:r>
    </w:p>
    <w:p w:rsidR="003471CC" w:rsidRPr="00364FED" w:rsidRDefault="005547F1">
      <w:pPr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Song I, Weller S, Patel J, Borland J</w:t>
      </w:r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Wynne B et al. Effect of carbamazepine on </w:t>
      </w: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pharmacokinetics and dosing recommendation. </w:t>
      </w: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Eur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 </w:t>
      </w: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Clin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>Pharmacol</w:t>
      </w:r>
      <w:proofErr w:type="spellEnd"/>
      <w:r w:rsidRPr="00364FE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2016; 72: 665-670.</w:t>
      </w:r>
    </w:p>
    <w:p w:rsidR="003471CC" w:rsidRDefault="005547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http://www.guidetherapeutiquevih.com</w:t>
      </w:r>
    </w:p>
    <w:sectPr w:rsidR="003471CC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F1" w:rsidRDefault="005547F1">
      <w:r>
        <w:separator/>
      </w:r>
    </w:p>
  </w:endnote>
  <w:endnote w:type="continuationSeparator" w:id="0">
    <w:p w:rsidR="005547F1" w:rsidRDefault="005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D" w:rsidRPr="00364FED" w:rsidRDefault="00364FED" w:rsidP="00364F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3471CC" w:rsidRDefault="003471C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F1" w:rsidRDefault="005547F1">
      <w:r>
        <w:separator/>
      </w:r>
    </w:p>
  </w:footnote>
  <w:footnote w:type="continuationSeparator" w:id="0">
    <w:p w:rsidR="005547F1" w:rsidRDefault="0055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1FD"/>
    <w:multiLevelType w:val="multilevel"/>
    <w:tmpl w:val="E4089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860399"/>
    <w:multiLevelType w:val="multilevel"/>
    <w:tmpl w:val="56265B3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BB3B0C"/>
    <w:multiLevelType w:val="multilevel"/>
    <w:tmpl w:val="090C770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1D7A"/>
    <w:multiLevelType w:val="multilevel"/>
    <w:tmpl w:val="2320F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62D1"/>
    <w:multiLevelType w:val="multilevel"/>
    <w:tmpl w:val="63D444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5C46454B"/>
    <w:multiLevelType w:val="multilevel"/>
    <w:tmpl w:val="18B88FF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B20D44"/>
    <w:multiLevelType w:val="multilevel"/>
    <w:tmpl w:val="1E3AD942"/>
    <w:lvl w:ilvl="0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84A3E9A"/>
    <w:multiLevelType w:val="multilevel"/>
    <w:tmpl w:val="AA5AAFB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1CC"/>
    <w:rsid w:val="003471CC"/>
    <w:rsid w:val="00364FED"/>
    <w:rsid w:val="0055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4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4FED"/>
  </w:style>
  <w:style w:type="paragraph" w:styleId="Pieddepage">
    <w:name w:val="footer"/>
    <w:basedOn w:val="Normal"/>
    <w:link w:val="PieddepageCar"/>
    <w:uiPriority w:val="99"/>
    <w:unhideWhenUsed/>
    <w:rsid w:val="00364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FE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4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4FED"/>
  </w:style>
  <w:style w:type="paragraph" w:styleId="Pieddepage">
    <w:name w:val="footer"/>
    <w:basedOn w:val="Normal"/>
    <w:link w:val="PieddepageCar"/>
    <w:uiPriority w:val="99"/>
    <w:unhideWhenUsed/>
    <w:rsid w:val="00364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FE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4254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2020-10-27T15:06:00Z</dcterms:created>
  <dcterms:modified xsi:type="dcterms:W3CDTF">2020-10-27T15:11:00Z</dcterms:modified>
</cp:coreProperties>
</file>