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CC" w:rsidRDefault="005547F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Opinion pharmaceutique </w:t>
      </w:r>
    </w:p>
    <w:p w:rsidR="003471CC" w:rsidRDefault="003471CC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3471CC" w:rsidRDefault="005547F1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Interaction entre Millepertuis (</w:t>
      </w:r>
      <w:proofErr w:type="spellStart"/>
      <w:r>
        <w:rPr>
          <w:rFonts w:ascii="Century Gothic" w:eastAsia="Century Gothic" w:hAnsi="Century Gothic" w:cs="Century Gothic"/>
          <w:b/>
          <w:i/>
          <w:sz w:val="22"/>
          <w:szCs w:val="22"/>
        </w:rPr>
        <w:t>Hypericum</w:t>
      </w:r>
      <w:proofErr w:type="spellEnd"/>
      <w:r>
        <w:rPr>
          <w:rFonts w:ascii="Century Gothic" w:eastAsia="Century Gothic" w:hAnsi="Century Gothic" w:cs="Century Gothic"/>
          <w:b/>
          <w:i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i/>
          <w:sz w:val="22"/>
          <w:szCs w:val="22"/>
        </w:rPr>
        <w:t>perforatum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) </w:t>
      </w:r>
    </w:p>
    <w:p w:rsidR="003471CC" w:rsidRDefault="005547F1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b/>
          <w:sz w:val="22"/>
          <w:szCs w:val="22"/>
        </w:rPr>
        <w:t>et</w:t>
      </w:r>
      <w:proofErr w:type="gram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Triumeq</w:t>
      </w:r>
      <w:proofErr w:type="spellEnd"/>
      <w:r w:rsidR="00364FED">
        <w:rPr>
          <w:rFonts w:ascii="Century Gothic" w:eastAsia="Century Gothic" w:hAnsi="Century Gothic" w:cs="Century Gothic"/>
          <w:b/>
          <w:sz w:val="22"/>
          <w:szCs w:val="22"/>
        </w:rPr>
        <w:t xml:space="preserve">, </w:t>
      </w:r>
      <w:proofErr w:type="spellStart"/>
      <w:r w:rsidR="00364FED">
        <w:rPr>
          <w:rFonts w:ascii="Century Gothic" w:eastAsia="Century Gothic" w:hAnsi="Century Gothic" w:cs="Century Gothic"/>
          <w:b/>
          <w:sz w:val="22"/>
          <w:szCs w:val="22"/>
        </w:rPr>
        <w:t>Dovato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et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)</w:t>
      </w:r>
    </w:p>
    <w:p w:rsidR="003471CC" w:rsidRDefault="003471CC">
      <w:pPr>
        <w:jc w:val="center"/>
        <w:rPr>
          <w:rFonts w:ascii="Century Gothic" w:eastAsia="Century Gothic" w:hAnsi="Century Gothic" w:cs="Century Gothic"/>
        </w:rPr>
      </w:pPr>
    </w:p>
    <w:p w:rsidR="003471CC" w:rsidRDefault="005547F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Patient(e) : 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DDN : _____/_____/_____</w:t>
      </w:r>
    </w:p>
    <w:p w:rsidR="003471CC" w:rsidRDefault="003471C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3471CC" w:rsidRDefault="005547F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Après avoir analysé le dossier de votre patient(e), j’ai relevé un problème relié à sa pharmacothérapie. </w:t>
      </w:r>
    </w:p>
    <w:p w:rsidR="003471CC" w:rsidRDefault="003471C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3471CC" w:rsidRDefault="005547F1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Interaction entre :</w:t>
      </w:r>
    </w:p>
    <w:p w:rsidR="003471CC" w:rsidRDefault="005547F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Millepertuis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Hypericum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perforatum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3471CC" w:rsidRDefault="005547F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Et </w:t>
      </w:r>
    </w:p>
    <w:p w:rsidR="003471CC" w:rsidRDefault="005547F1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3471CC" w:rsidRPr="00364FED" w:rsidRDefault="005547F1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Lamivudine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Abacavir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Triumeq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364FED" w:rsidRDefault="00364FED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Lamivudine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Dovato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3471CC" w:rsidRDefault="005547F1">
      <w:pPr>
        <w:numPr>
          <w:ilvl w:val="0"/>
          <w:numId w:val="3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</w:t>
      </w:r>
      <w:r>
        <w:rPr>
          <w:rFonts w:ascii="Century Gothic" w:eastAsia="Century Gothic" w:hAnsi="Century Gothic" w:cs="Century Gothic"/>
          <w:sz w:val="22"/>
          <w:szCs w:val="22"/>
        </w:rPr>
        <w:t>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3471CC" w:rsidRDefault="003471C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3471CC" w:rsidRDefault="005547F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Une diminution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peut survenir lors de l’administration concomitante avec le millepertuis. Voici pourquoi 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1-</w:t>
      </w:r>
      <w:r w:rsidR="00364FED">
        <w:rPr>
          <w:rFonts w:ascii="Century Gothic" w:eastAsia="Century Gothic" w:hAnsi="Century Gothic" w:cs="Century Gothic"/>
          <w:sz w:val="22"/>
          <w:szCs w:val="22"/>
          <w:vertAlign w:val="superscript"/>
        </w:rPr>
        <w:t>7</w:t>
      </w:r>
      <w:r>
        <w:rPr>
          <w:rFonts w:ascii="Century Gothic" w:eastAsia="Century Gothic" w:hAnsi="Century Gothic" w:cs="Century Gothic"/>
          <w:sz w:val="22"/>
          <w:szCs w:val="22"/>
        </w:rPr>
        <w:t>:</w:t>
      </w:r>
    </w:p>
    <w:p w:rsidR="003471CC" w:rsidRDefault="005547F1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Le millepertuis est un inducteur enzymatique du CYP-3A4.</w:t>
      </w:r>
    </w:p>
    <w:p w:rsidR="003471CC" w:rsidRDefault="005547F1">
      <w:pPr>
        <w:numPr>
          <w:ilvl w:val="1"/>
          <w:numId w:val="2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Le métabolisme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implique le CYP-3A4.</w:t>
      </w:r>
    </w:p>
    <w:p w:rsidR="003471CC" w:rsidRDefault="005547F1">
      <w:pPr>
        <w:numPr>
          <w:ilvl w:val="1"/>
          <w:numId w:val="2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L’inductio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n peut diminuer la concentration plasmatique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son efficacité clinique.</w:t>
      </w:r>
    </w:p>
    <w:p w:rsidR="003471CC" w:rsidRDefault="003471C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3471CC" w:rsidRDefault="005547F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0" w:name="_rcnugszg9b0m" w:colFirst="0" w:colLast="0"/>
      <w:bookmarkEnd w:id="0"/>
      <w:r>
        <w:rPr>
          <w:rFonts w:ascii="Century Gothic" w:eastAsia="Century Gothic" w:hAnsi="Century Gothic" w:cs="Century Gothic"/>
          <w:sz w:val="22"/>
          <w:szCs w:val="22"/>
        </w:rPr>
        <w:t xml:space="preserve">La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-administration n’a pas été étudiée. </w:t>
      </w:r>
    </w:p>
    <w:p w:rsidR="003471CC" w:rsidRDefault="005547F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1" w:name="_nhug0ifof7j1" w:colFirst="0" w:colLast="0"/>
      <w:bookmarkEnd w:id="1"/>
      <w:r>
        <w:rPr>
          <w:rFonts w:ascii="Century Gothic" w:eastAsia="Century Gothic" w:hAnsi="Century Gothic" w:cs="Century Gothic"/>
          <w:sz w:val="22"/>
          <w:szCs w:val="22"/>
        </w:rPr>
        <w:t xml:space="preserve">Cependant, selon la monographie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, une réduction semblable aux réductions engendrées par l’interaction entre la Ca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rbamazépine et 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est attendue. Il y aurait donc une réduction de la surface sous la courbe (SSC)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de 49 %. </w:t>
      </w:r>
    </w:p>
    <w:p w:rsidR="003471CC" w:rsidRDefault="005547F1">
      <w:pPr>
        <w:jc w:val="both"/>
        <w:rPr>
          <w:rFonts w:ascii="Century Gothic" w:eastAsia="Century Gothic" w:hAnsi="Century Gothic" w:cs="Century Gothic"/>
          <w:sz w:val="22"/>
          <w:szCs w:val="22"/>
          <w:vertAlign w:val="superscript"/>
        </w:rPr>
      </w:pPr>
      <w:bookmarkStart w:id="2" w:name="_gjdgxs" w:colFirst="0" w:colLast="0"/>
      <w:bookmarkEnd w:id="2"/>
      <w:r>
        <w:rPr>
          <w:rFonts w:ascii="Century Gothic" w:eastAsia="Century Gothic" w:hAnsi="Century Gothic" w:cs="Century Gothic"/>
          <w:sz w:val="22"/>
          <w:szCs w:val="22"/>
        </w:rPr>
        <w:t>La monographie américaine recommande d’éviter l’association, alors que les lignes directrices européennes suggèrent de modifier l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a posologie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 mg BID au lieu de 50 mg DIE dans le cas où le patient n’est pas résistant aux inhibiteurs de l’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intégrase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(INI).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1-</w:t>
      </w:r>
      <w:r w:rsidR="00364FED">
        <w:rPr>
          <w:rFonts w:ascii="Century Gothic" w:eastAsia="Century Gothic" w:hAnsi="Century Gothic" w:cs="Century Gothic"/>
          <w:sz w:val="22"/>
          <w:szCs w:val="22"/>
          <w:vertAlign w:val="superscript"/>
        </w:rPr>
        <w:t>5</w:t>
      </w:r>
    </w:p>
    <w:p w:rsidR="003471CC" w:rsidRDefault="003471CC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3471CC" w:rsidRDefault="005547F1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br w:type="page"/>
      </w:r>
    </w:p>
    <w:p w:rsidR="003471CC" w:rsidRDefault="005547F1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Options thérapeutiques possibles :</w:t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 xml:space="preserve"> </w:t>
      </w:r>
    </w:p>
    <w:p w:rsidR="003471CC" w:rsidRDefault="005547F1">
      <w:pPr>
        <w:spacing w:before="200"/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Tivicay</w:t>
      </w:r>
      <w:proofErr w:type="spellEnd"/>
      <w:proofErr w:type="gramStart"/>
      <w:r>
        <w:rPr>
          <w:rFonts w:ascii="Century Gothic" w:eastAsia="Century Gothic" w:hAnsi="Century Gothic" w:cs="Century Gothic"/>
          <w:b/>
          <w:sz w:val="22"/>
          <w:szCs w:val="22"/>
        </w:rPr>
        <w:t>)</w:t>
      </w:r>
      <w:r>
        <w:rPr>
          <w:rFonts w:ascii="Century Gothic" w:eastAsia="Century Gothic" w:hAnsi="Century Gothic" w:cs="Century Gothic"/>
          <w:b/>
          <w:sz w:val="22"/>
          <w:szCs w:val="22"/>
          <w:vertAlign w:val="superscript"/>
        </w:rPr>
        <w:t>1</w:t>
      </w:r>
      <w:proofErr w:type="gramEnd"/>
      <w:r>
        <w:rPr>
          <w:rFonts w:ascii="Century Gothic" w:eastAsia="Century Gothic" w:hAnsi="Century Gothic" w:cs="Century Gothic"/>
          <w:b/>
          <w:sz w:val="22"/>
          <w:szCs w:val="22"/>
          <w:vertAlign w:val="superscript"/>
        </w:rPr>
        <w:t>-2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: </w:t>
      </w:r>
    </w:p>
    <w:p w:rsidR="003471CC" w:rsidRDefault="005547F1">
      <w:pPr>
        <w:spacing w:before="200"/>
        <w:ind w:left="720"/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>
        <w:rPr>
          <w:rFonts w:ascii="Century Gothic" w:eastAsia="Century Gothic" w:hAnsi="Century Gothic" w:cs="Century Gothic"/>
          <w:i/>
          <w:sz w:val="22"/>
          <w:szCs w:val="22"/>
        </w:rPr>
        <w:t>Chez un patient naïf aux INI :</w:t>
      </w:r>
    </w:p>
    <w:p w:rsidR="003471CC" w:rsidRDefault="005547F1">
      <w:pPr>
        <w:numPr>
          <w:ilvl w:val="0"/>
          <w:numId w:val="6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Envisager de changer le millepertuis pour un ISRS ou autres : ____________________________.</w:t>
      </w:r>
    </w:p>
    <w:p w:rsidR="003471CC" w:rsidRPr="00364FED" w:rsidRDefault="005547F1" w:rsidP="00364FED">
      <w:pPr>
        <w:numPr>
          <w:ilvl w:val="0"/>
          <w:numId w:val="6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Augmenter la fréquence d’administration 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 mg BID.</w:t>
      </w:r>
    </w:p>
    <w:p w:rsidR="003471CC" w:rsidRDefault="005547F1">
      <w:pPr>
        <w:spacing w:before="200"/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Chez un patient avec résistance aux INI documentée ou signes et symptômes cliniques d’échec à </w:t>
      </w:r>
      <w:r>
        <w:rPr>
          <w:rFonts w:ascii="Century Gothic" w:eastAsia="Century Gothic" w:hAnsi="Century Gothic" w:cs="Century Gothic"/>
          <w:i/>
          <w:sz w:val="22"/>
          <w:szCs w:val="22"/>
        </w:rPr>
        <w:t>la thérapie 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:rsidR="003471CC" w:rsidRDefault="005547F1">
      <w:pPr>
        <w:numPr>
          <w:ilvl w:val="1"/>
          <w:numId w:val="4"/>
        </w:numPr>
        <w:jc w:val="both"/>
        <w:rPr>
          <w:rFonts w:ascii="Noto Sans Symbols" w:eastAsia="Noto Sans Symbols" w:hAnsi="Noto Sans Symbols" w:cs="Noto Sans Symbols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Envisager de changer le millepertuis pour un ISRS ou autres : ____________________________.</w:t>
      </w:r>
    </w:p>
    <w:p w:rsidR="003471CC" w:rsidRDefault="005547F1">
      <w:pPr>
        <w:numPr>
          <w:ilvl w:val="1"/>
          <w:numId w:val="4"/>
        </w:numPr>
        <w:jc w:val="both"/>
        <w:rPr>
          <w:rFonts w:ascii="Noto Sans Symbols" w:eastAsia="Noto Sans Symbols" w:hAnsi="Noto Sans Symbols" w:cs="Noto Sans Symbols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Envisager de changer 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pour un autre antirétroviral : ____________________________.</w:t>
      </w:r>
    </w:p>
    <w:p w:rsidR="003471CC" w:rsidRDefault="003471C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3" w:name="_hnd1czebm4o1" w:colFirst="0" w:colLast="0"/>
      <w:bookmarkEnd w:id="3"/>
    </w:p>
    <w:p w:rsidR="003471CC" w:rsidRDefault="005547F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4" w:name="_yg1al7z4g3w1" w:colFirst="0" w:colLast="0"/>
      <w:bookmarkEnd w:id="4"/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Triumeq</w:t>
      </w:r>
      <w:proofErr w:type="spellEnd"/>
      <w:r w:rsidR="00364FED">
        <w:rPr>
          <w:rFonts w:ascii="Century Gothic" w:eastAsia="Century Gothic" w:hAnsi="Century Gothic" w:cs="Century Gothic"/>
          <w:b/>
          <w:sz w:val="22"/>
          <w:szCs w:val="22"/>
        </w:rPr>
        <w:t xml:space="preserve"> ou </w:t>
      </w:r>
      <w:proofErr w:type="spellStart"/>
      <w:r w:rsidR="00364FED">
        <w:rPr>
          <w:rFonts w:ascii="Century Gothic" w:eastAsia="Century Gothic" w:hAnsi="Century Gothic" w:cs="Century Gothic"/>
          <w:b/>
          <w:sz w:val="22"/>
          <w:szCs w:val="22"/>
        </w:rPr>
        <w:t>Dovato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) </w:t>
      </w:r>
      <w:r>
        <w:rPr>
          <w:rFonts w:ascii="Century Gothic" w:eastAsia="Century Gothic" w:hAnsi="Century Gothic" w:cs="Century Gothic"/>
          <w:b/>
          <w:sz w:val="22"/>
          <w:szCs w:val="22"/>
          <w:vertAlign w:val="superscript"/>
        </w:rPr>
        <w:t>3</w:t>
      </w:r>
      <w:r w:rsidR="00364FED">
        <w:rPr>
          <w:rFonts w:ascii="Century Gothic" w:eastAsia="Century Gothic" w:hAnsi="Century Gothic" w:cs="Century Gothic"/>
          <w:b/>
          <w:sz w:val="22"/>
          <w:szCs w:val="22"/>
          <w:vertAlign w:val="superscript"/>
        </w:rPr>
        <w:t>-4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:rsidR="003471CC" w:rsidRDefault="005547F1">
      <w:pPr>
        <w:spacing w:before="200"/>
        <w:ind w:left="720"/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>
        <w:rPr>
          <w:rFonts w:ascii="Century Gothic" w:eastAsia="Century Gothic" w:hAnsi="Century Gothic" w:cs="Century Gothic"/>
          <w:i/>
          <w:sz w:val="22"/>
          <w:szCs w:val="22"/>
        </w:rPr>
        <w:t>Chez un patient naïf a</w:t>
      </w:r>
      <w:r>
        <w:rPr>
          <w:rFonts w:ascii="Century Gothic" w:eastAsia="Century Gothic" w:hAnsi="Century Gothic" w:cs="Century Gothic"/>
          <w:i/>
          <w:sz w:val="22"/>
          <w:szCs w:val="22"/>
        </w:rPr>
        <w:t>ux INI :</w:t>
      </w:r>
    </w:p>
    <w:p w:rsidR="003471CC" w:rsidRDefault="005547F1">
      <w:pPr>
        <w:numPr>
          <w:ilvl w:val="0"/>
          <w:numId w:val="6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Envisager de changer le millepertuis pour un ISRS ou autres : ____________________________.</w:t>
      </w:r>
    </w:p>
    <w:p w:rsidR="003471CC" w:rsidRDefault="005547F1">
      <w:pPr>
        <w:numPr>
          <w:ilvl w:val="0"/>
          <w:numId w:val="6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Ajouter une dose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) à 50 mg  </w:t>
      </w: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>espacer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 xml:space="preserve"> de 12 heures de la  prise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Triumeq</w:t>
      </w:r>
      <w:proofErr w:type="spellEnd"/>
      <w:r w:rsidR="00364FED">
        <w:rPr>
          <w:rFonts w:ascii="Century Gothic" w:eastAsia="Century Gothic" w:hAnsi="Century Gothic" w:cs="Century Gothic"/>
          <w:sz w:val="22"/>
          <w:szCs w:val="22"/>
        </w:rPr>
        <w:t xml:space="preserve"> ou du </w:t>
      </w:r>
      <w:proofErr w:type="spellStart"/>
      <w:r w:rsidR="00364FED">
        <w:rPr>
          <w:rFonts w:ascii="Century Gothic" w:eastAsia="Century Gothic" w:hAnsi="Century Gothic" w:cs="Century Gothic"/>
          <w:sz w:val="22"/>
          <w:szCs w:val="22"/>
        </w:rPr>
        <w:t>Dovato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. </w:t>
      </w:r>
    </w:p>
    <w:p w:rsidR="003471CC" w:rsidRDefault="003471CC">
      <w:pPr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</w:p>
    <w:p w:rsidR="003471CC" w:rsidRDefault="005547F1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i/>
          <w:sz w:val="22"/>
          <w:szCs w:val="22"/>
        </w:rPr>
        <w:t>Chez un patient avec résistance aux INI documentée ou s</w:t>
      </w:r>
      <w:r>
        <w:rPr>
          <w:rFonts w:ascii="Century Gothic" w:eastAsia="Century Gothic" w:hAnsi="Century Gothic" w:cs="Century Gothic"/>
          <w:i/>
          <w:sz w:val="22"/>
          <w:szCs w:val="22"/>
        </w:rPr>
        <w:t>ignes et symptômes cliniques d’échec à la thérapie 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:rsidR="003471CC" w:rsidRDefault="005547F1">
      <w:pPr>
        <w:numPr>
          <w:ilvl w:val="1"/>
          <w:numId w:val="4"/>
        </w:numPr>
        <w:jc w:val="both"/>
        <w:rPr>
          <w:rFonts w:ascii="Noto Sans Symbols" w:eastAsia="Noto Sans Symbols" w:hAnsi="Noto Sans Symbols" w:cs="Noto Sans Symbols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Envisager de changer le millepertuis pour un ISRS ou autres : ____________________________.</w:t>
      </w:r>
    </w:p>
    <w:p w:rsidR="003471CC" w:rsidRDefault="005547F1">
      <w:pPr>
        <w:numPr>
          <w:ilvl w:val="1"/>
          <w:numId w:val="4"/>
        </w:numPr>
        <w:jc w:val="both"/>
        <w:rPr>
          <w:rFonts w:ascii="Noto Sans Symbols" w:eastAsia="Noto Sans Symbols" w:hAnsi="Noto Sans Symbols" w:cs="Noto Sans Symbols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Envisager de changer 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pour un autre antirétroviral : ____________________________.</w:t>
      </w:r>
    </w:p>
    <w:p w:rsidR="003471CC" w:rsidRDefault="003471C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5" w:name="_hutll47lz0p0" w:colFirst="0" w:colLast="0"/>
      <w:bookmarkEnd w:id="5"/>
    </w:p>
    <w:p w:rsidR="003471CC" w:rsidRDefault="005547F1" w:rsidP="00364FED">
      <w:pPr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proofErr w:type="spellStart"/>
      <w:r w:rsidRPr="00364FED">
        <w:rPr>
          <w:rFonts w:ascii="Century Gothic" w:eastAsia="Century Gothic" w:hAnsi="Century Gothic" w:cs="Century Gothic"/>
          <w:b/>
          <w:sz w:val="22"/>
          <w:szCs w:val="22"/>
        </w:rPr>
        <w:t>Dolutégravir</w:t>
      </w:r>
      <w:proofErr w:type="spellEnd"/>
      <w:r w:rsidRPr="00364FED">
        <w:rPr>
          <w:rFonts w:ascii="Century Gothic" w:eastAsia="Century Gothic" w:hAnsi="Century Gothic" w:cs="Century Gothic"/>
          <w:b/>
          <w:sz w:val="22"/>
          <w:szCs w:val="22"/>
        </w:rPr>
        <w:t>/</w:t>
      </w:r>
      <w:proofErr w:type="spellStart"/>
      <w:r w:rsidRPr="00364FED">
        <w:rPr>
          <w:rFonts w:ascii="Century Gothic" w:eastAsia="Century Gothic" w:hAnsi="Century Gothic" w:cs="Century Gothic"/>
          <w:b/>
          <w:sz w:val="22"/>
          <w:szCs w:val="22"/>
        </w:rPr>
        <w:t>Rilpivirine</w:t>
      </w:r>
      <w:proofErr w:type="spellEnd"/>
      <w:r w:rsidRPr="00364FED"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 w:rsidRPr="00364FED">
        <w:rPr>
          <w:rFonts w:ascii="Century Gothic" w:eastAsia="Century Gothic" w:hAnsi="Century Gothic" w:cs="Century Gothic"/>
          <w:b/>
          <w:sz w:val="22"/>
          <w:szCs w:val="22"/>
        </w:rPr>
        <w:t>Juluca</w:t>
      </w:r>
      <w:proofErr w:type="spellEnd"/>
      <w:r w:rsidRPr="00364FED">
        <w:rPr>
          <w:rFonts w:ascii="Century Gothic" w:eastAsia="Century Gothic" w:hAnsi="Century Gothic" w:cs="Century Gothic"/>
          <w:b/>
          <w:sz w:val="22"/>
          <w:szCs w:val="22"/>
        </w:rPr>
        <w:t xml:space="preserve">) </w:t>
      </w:r>
      <w:r w:rsidR="00364FED" w:rsidRPr="00364FED">
        <w:rPr>
          <w:rFonts w:ascii="Century Gothic" w:eastAsia="Century Gothic" w:hAnsi="Century Gothic" w:cs="Century Gothic"/>
          <w:sz w:val="22"/>
          <w:szCs w:val="22"/>
          <w:vertAlign w:val="superscript"/>
        </w:rPr>
        <w:t>5</w:t>
      </w:r>
      <w:r w:rsidRPr="00364FED">
        <w:rPr>
          <w:rFonts w:ascii="Century Gothic" w:eastAsia="Century Gothic" w:hAnsi="Century Gothic" w:cs="Century Gothic"/>
          <w:sz w:val="22"/>
          <w:szCs w:val="22"/>
        </w:rPr>
        <w:t xml:space="preserve"> :</w:t>
      </w: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</w:t>
      </w:r>
    </w:p>
    <w:p w:rsidR="003471CC" w:rsidRDefault="005547F1">
      <w:pPr>
        <w:spacing w:before="200"/>
        <w:ind w:left="72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** L’association est contre-indiquée avec le millepertuis **</w:t>
      </w:r>
    </w:p>
    <w:p w:rsidR="003471CC" w:rsidRDefault="005547F1" w:rsidP="00364FED">
      <w:pPr>
        <w:numPr>
          <w:ilvl w:val="0"/>
          <w:numId w:val="7"/>
        </w:numPr>
        <w:spacing w:before="200"/>
        <w:ind w:left="1418" w:hanging="284"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Envisager de changer le millepertuis pour un ISRS ou autres : ____________________________.</w:t>
      </w:r>
    </w:p>
    <w:p w:rsidR="003471CC" w:rsidRDefault="005547F1" w:rsidP="00364FED">
      <w:pPr>
        <w:numPr>
          <w:ilvl w:val="0"/>
          <w:numId w:val="7"/>
        </w:numPr>
        <w:ind w:left="1418" w:hanging="284"/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Envisager de changer 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pour un autre antirétroviral : ____________________________.</w:t>
      </w:r>
    </w:p>
    <w:p w:rsidR="003471CC" w:rsidRDefault="00347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3471CC" w:rsidRDefault="003471C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3471CC" w:rsidRDefault="005547F1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Suivi :</w:t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 xml:space="preserve"> </w:t>
      </w:r>
    </w:p>
    <w:p w:rsidR="003471CC" w:rsidRDefault="005547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Surveiller l’efficacité thérapeutique du traitement anti-VIH, charge virale et CD4</w:t>
      </w:r>
      <w:r>
        <w:rPr>
          <w:rFonts w:ascii="Century Gothic" w:eastAsia="Century Gothic" w:hAnsi="Century Gothic" w:cs="Century Gothic"/>
          <w:color w:val="000000"/>
          <w:sz w:val="22"/>
          <w:szCs w:val="22"/>
          <w:vertAlign w:val="superscript"/>
        </w:rPr>
        <w:t>+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3471CC" w:rsidRDefault="003471C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3471CC" w:rsidRDefault="005547F1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br w:type="page"/>
      </w:r>
    </w:p>
    <w:p w:rsidR="003471CC" w:rsidRDefault="005547F1">
      <w:pPr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Suggestion de la pharmacie ou nouvelle prescription : </w:t>
      </w:r>
    </w:p>
    <w:p w:rsidR="003471CC" w:rsidRDefault="003471CC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tbl>
      <w:tblPr>
        <w:tblStyle w:val="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3471CC">
        <w:tc>
          <w:tcPr>
            <w:tcW w:w="9396" w:type="dxa"/>
          </w:tcPr>
          <w:p w:rsidR="003471CC" w:rsidRDefault="005547F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Date : _____/_____/_____</w:t>
            </w:r>
          </w:p>
          <w:p w:rsidR="003471CC" w:rsidRDefault="005547F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Patient(e) : ________________________          DDN : _____/_____/_____</w:t>
            </w:r>
          </w:p>
          <w:p w:rsidR="003471CC" w:rsidRDefault="005547F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 Téléphone : _____________________________</w:t>
            </w:r>
          </w:p>
        </w:tc>
      </w:tr>
      <w:tr w:rsidR="003471CC">
        <w:tc>
          <w:tcPr>
            <w:tcW w:w="9396" w:type="dxa"/>
          </w:tcPr>
          <w:p w:rsidR="003471CC" w:rsidRDefault="005547F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Rx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 : </w:t>
            </w:r>
          </w:p>
          <w:p w:rsidR="003471CC" w:rsidRDefault="003471CC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3471CC" w:rsidRDefault="003471CC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3471CC" w:rsidRDefault="003471CC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3471CC" w:rsidRDefault="003471CC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3471CC" w:rsidRDefault="005547F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Renouvellements : _____</w:t>
            </w:r>
          </w:p>
          <w:p w:rsidR="003471CC" w:rsidRDefault="003471CC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3471CC" w:rsidRDefault="003471CC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3471CC" w:rsidRDefault="003471CC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3471CC" w:rsidRDefault="005547F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Médecin : __________     Numéro de pratique : __________    Signature : __________</w:t>
            </w:r>
          </w:p>
          <w:p w:rsidR="003471CC" w:rsidRDefault="005547F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Adresse : ____________________________________________</w:t>
            </w:r>
          </w:p>
          <w:p w:rsidR="003471CC" w:rsidRDefault="005547F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#Téléphone : ____________________     #Télécopieur : ________________</w:t>
            </w:r>
          </w:p>
        </w:tc>
      </w:tr>
      <w:tr w:rsidR="003471CC">
        <w:tc>
          <w:tcPr>
            <w:tcW w:w="9396" w:type="dxa"/>
          </w:tcPr>
          <w:p w:rsidR="003471CC" w:rsidRDefault="005547F1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Certification du prescripteur </w:t>
            </w:r>
          </w:p>
          <w:p w:rsidR="003471CC" w:rsidRDefault="005547F1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Je certifie que 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: </w:t>
            </w:r>
          </w:p>
          <w:p w:rsidR="003471CC" w:rsidRDefault="005547F1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cette ordonnance est une ordonnance originale, </w:t>
            </w:r>
          </w:p>
          <w:p w:rsidR="003471CC" w:rsidRDefault="005547F1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le pharmacien identifié précité est le seul destinataire, </w:t>
            </w:r>
          </w:p>
          <w:p w:rsidR="003471CC" w:rsidRDefault="005547F1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l’original ne sera pas réutilisé.</w:t>
            </w:r>
          </w:p>
        </w:tc>
      </w:tr>
    </w:tbl>
    <w:p w:rsidR="003471CC" w:rsidRDefault="003471C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3471CC" w:rsidRDefault="005547F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Veuillez svp nous faire parvenir une copie de cette page avec votre conduite à tenir. </w:t>
      </w:r>
    </w:p>
    <w:p w:rsidR="003471CC" w:rsidRDefault="003471C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3471CC" w:rsidRDefault="005547F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Si vous avez besoin d’information complémentaire, n’hésitez pas à communiquer avec moi. </w:t>
      </w:r>
    </w:p>
    <w:p w:rsidR="003471CC" w:rsidRDefault="003471C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3471CC" w:rsidRDefault="005547F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Cordialement, </w:t>
      </w:r>
    </w:p>
    <w:p w:rsidR="003471CC" w:rsidRDefault="003471C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3471CC" w:rsidRDefault="005547F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Pharmacien(ne) : 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Pharmacie : ____________________</w:t>
      </w:r>
    </w:p>
    <w:p w:rsidR="003471CC" w:rsidRDefault="005547F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#Téléphone : 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#Télécopieur : ____________________</w:t>
      </w:r>
    </w:p>
    <w:p w:rsidR="003471CC" w:rsidRDefault="003471C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3471CC" w:rsidRDefault="003471CC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3471CC" w:rsidRDefault="003471C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3471CC" w:rsidRDefault="005547F1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br w:type="page"/>
      </w:r>
    </w:p>
    <w:p w:rsidR="003471CC" w:rsidRDefault="005547F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b/>
          <w:sz w:val="22"/>
          <w:szCs w:val="22"/>
        </w:rPr>
        <w:t>Réfé</w:t>
      </w:r>
      <w:r>
        <w:rPr>
          <w:rFonts w:ascii="Century Gothic" w:eastAsia="Century Gothic" w:hAnsi="Century Gothic" w:cs="Century Gothic"/>
          <w:b/>
          <w:sz w:val="22"/>
          <w:szCs w:val="22"/>
        </w:rPr>
        <w:t>rences</w:t>
      </w:r>
      <w:proofErr w:type="gramEnd"/>
      <w:r>
        <w:rPr>
          <w:rFonts w:ascii="Century Gothic" w:eastAsia="Century Gothic" w:hAnsi="Century Gothic" w:cs="Century Gothic"/>
          <w:b/>
          <w:sz w:val="22"/>
          <w:szCs w:val="22"/>
        </w:rPr>
        <w:t> 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:rsidR="003471CC" w:rsidRDefault="00364FED">
      <w:pPr>
        <w:numPr>
          <w:ilvl w:val="0"/>
          <w:numId w:val="8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TIVICAY (comprimés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10, 25 et 50 mg), numéro de contrôle de la présentation : </w:t>
      </w:r>
      <w:r w:rsidRPr="004627B3">
        <w:rPr>
          <w:rFonts w:ascii="Century Gothic" w:eastAsia="Century Gothic" w:hAnsi="Century Gothic" w:cs="Century Gothic"/>
          <w:sz w:val="22"/>
          <w:szCs w:val="22"/>
        </w:rPr>
        <w:t>233258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Healthcare ULC, Québec, Canada, Janvier 2020</w:t>
      </w:r>
      <w:bookmarkStart w:id="6" w:name="_GoBack"/>
      <w:bookmarkEnd w:id="6"/>
      <w:r w:rsidR="005547F1"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3471CC" w:rsidRPr="00364FED" w:rsidRDefault="005547F1">
      <w:pPr>
        <w:numPr>
          <w:ilvl w:val="0"/>
          <w:numId w:val="8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proofErr w:type="spellStart"/>
      <w:r w:rsidRPr="00364FED">
        <w:rPr>
          <w:rFonts w:ascii="Century Gothic" w:eastAsia="Century Gothic" w:hAnsi="Century Gothic" w:cs="Century Gothic"/>
          <w:sz w:val="22"/>
          <w:szCs w:val="22"/>
          <w:lang w:val="en-CA"/>
        </w:rPr>
        <w:t>Tivicay</w:t>
      </w:r>
      <w:proofErr w:type="spellEnd"/>
      <w:r w:rsidRPr="00364FE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, US Prescribing Information, reference </w:t>
      </w:r>
      <w:proofErr w:type="gramStart"/>
      <w:r w:rsidRPr="00364FED">
        <w:rPr>
          <w:rFonts w:ascii="Century Gothic" w:eastAsia="Century Gothic" w:hAnsi="Century Gothic" w:cs="Century Gothic"/>
          <w:sz w:val="22"/>
          <w:szCs w:val="22"/>
          <w:lang w:val="en-CA"/>
        </w:rPr>
        <w:t>ID :</w:t>
      </w:r>
      <w:proofErr w:type="gramEnd"/>
      <w:r w:rsidRPr="00364FE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3943644, </w:t>
      </w:r>
      <w:proofErr w:type="spellStart"/>
      <w:r w:rsidRPr="00364FED">
        <w:rPr>
          <w:rFonts w:ascii="Century Gothic" w:eastAsia="Century Gothic" w:hAnsi="Century Gothic" w:cs="Century Gothic"/>
          <w:sz w:val="22"/>
          <w:szCs w:val="22"/>
          <w:lang w:val="en-CA"/>
        </w:rPr>
        <w:t>Viiv</w:t>
      </w:r>
      <w:proofErr w:type="spellEnd"/>
      <w:r w:rsidRPr="00364FE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Healthcare, June 2016.</w:t>
      </w:r>
    </w:p>
    <w:p w:rsidR="00364FED" w:rsidRDefault="00364FED" w:rsidP="00364FED">
      <w:pPr>
        <w:widowControl w:val="0"/>
        <w:numPr>
          <w:ilvl w:val="0"/>
          <w:numId w:val="8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TRIUMEQ (comprimés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, d’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abacavir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lamivudine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50, 600 et 300 mg respectivement), numéro de contrôle de présentation : </w:t>
      </w:r>
      <w:r w:rsidRPr="004627B3">
        <w:rPr>
          <w:rFonts w:ascii="Century Gothic" w:eastAsia="Century Gothic" w:hAnsi="Century Gothic" w:cs="Century Gothic"/>
          <w:sz w:val="22"/>
          <w:szCs w:val="22"/>
        </w:rPr>
        <w:t>233245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Healthcare ULC, Québec, Canada, Janvier 2020. </w:t>
      </w:r>
    </w:p>
    <w:p w:rsidR="00364FED" w:rsidRPr="004627B3" w:rsidRDefault="00364FED" w:rsidP="00364FED">
      <w:pPr>
        <w:widowControl w:val="0"/>
        <w:numPr>
          <w:ilvl w:val="0"/>
          <w:numId w:val="8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DOVATO (comprimés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lamivudine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 et 300 mg respectivement), numéro de contrôle de présentation : </w:t>
      </w:r>
      <w:r w:rsidRPr="004627B3">
        <w:rPr>
          <w:rFonts w:ascii="Century Gothic" w:eastAsia="Century Gothic" w:hAnsi="Century Gothic" w:cs="Century Gothic"/>
          <w:sz w:val="22"/>
          <w:szCs w:val="22"/>
        </w:rPr>
        <w:t>233469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Healthcare ULC, Québec, Canada, Septembre 2020. </w:t>
      </w:r>
    </w:p>
    <w:p w:rsidR="003471CC" w:rsidRPr="00364FED" w:rsidRDefault="00364FED" w:rsidP="00364FED">
      <w:pPr>
        <w:widowControl w:val="0"/>
        <w:numPr>
          <w:ilvl w:val="0"/>
          <w:numId w:val="8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JULUCA (comprimé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 mg et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25 mg), numéro de contrôle de la présentation </w:t>
      </w:r>
      <w:r w:rsidRPr="004627B3">
        <w:rPr>
          <w:rFonts w:ascii="Century Gothic" w:eastAsia="Century Gothic" w:hAnsi="Century Gothic" w:cs="Century Gothic"/>
          <w:sz w:val="22"/>
          <w:szCs w:val="22"/>
        </w:rPr>
        <w:t>: 233259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Healthcare ULC, Québec, Canada, Février 2020.</w:t>
      </w:r>
    </w:p>
    <w:p w:rsidR="003471CC" w:rsidRPr="00364FED" w:rsidRDefault="005547F1">
      <w:pPr>
        <w:numPr>
          <w:ilvl w:val="0"/>
          <w:numId w:val="8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r w:rsidRPr="00364FED">
        <w:rPr>
          <w:rFonts w:ascii="Century Gothic" w:eastAsia="Century Gothic" w:hAnsi="Century Gothic" w:cs="Century Gothic"/>
          <w:sz w:val="22"/>
          <w:szCs w:val="22"/>
          <w:lang w:val="en-CA"/>
        </w:rPr>
        <w:t>Song I, Weller S, Patel J, Borland J</w:t>
      </w:r>
      <w:r w:rsidRPr="00364FE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, Wynne B et al. Effect of carbamazepine on </w:t>
      </w:r>
      <w:proofErr w:type="spellStart"/>
      <w:r w:rsidRPr="00364FED">
        <w:rPr>
          <w:rFonts w:ascii="Century Gothic" w:eastAsia="Century Gothic" w:hAnsi="Century Gothic" w:cs="Century Gothic"/>
          <w:sz w:val="22"/>
          <w:szCs w:val="22"/>
          <w:lang w:val="en-CA"/>
        </w:rPr>
        <w:t>dolutegravir</w:t>
      </w:r>
      <w:proofErr w:type="spellEnd"/>
      <w:r w:rsidRPr="00364FE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pharmacokinetics and dosing recommendation. </w:t>
      </w:r>
      <w:proofErr w:type="spellStart"/>
      <w:r w:rsidRPr="00364FED">
        <w:rPr>
          <w:rFonts w:ascii="Century Gothic" w:eastAsia="Century Gothic" w:hAnsi="Century Gothic" w:cs="Century Gothic"/>
          <w:sz w:val="22"/>
          <w:szCs w:val="22"/>
          <w:lang w:val="en-CA"/>
        </w:rPr>
        <w:t>Eur</w:t>
      </w:r>
      <w:proofErr w:type="spellEnd"/>
      <w:r w:rsidRPr="00364FE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J </w:t>
      </w:r>
      <w:proofErr w:type="spellStart"/>
      <w:r w:rsidRPr="00364FED">
        <w:rPr>
          <w:rFonts w:ascii="Century Gothic" w:eastAsia="Century Gothic" w:hAnsi="Century Gothic" w:cs="Century Gothic"/>
          <w:sz w:val="22"/>
          <w:szCs w:val="22"/>
          <w:lang w:val="en-CA"/>
        </w:rPr>
        <w:t>Clin</w:t>
      </w:r>
      <w:proofErr w:type="spellEnd"/>
      <w:r w:rsidRPr="00364FE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proofErr w:type="spellStart"/>
      <w:r w:rsidRPr="00364FED">
        <w:rPr>
          <w:rFonts w:ascii="Century Gothic" w:eastAsia="Century Gothic" w:hAnsi="Century Gothic" w:cs="Century Gothic"/>
          <w:sz w:val="22"/>
          <w:szCs w:val="22"/>
          <w:lang w:val="en-CA"/>
        </w:rPr>
        <w:t>Pharmacol</w:t>
      </w:r>
      <w:proofErr w:type="spellEnd"/>
      <w:r w:rsidRPr="00364FE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2016; 72: 665-670.</w:t>
      </w:r>
    </w:p>
    <w:p w:rsidR="003471CC" w:rsidRDefault="005547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Guide thérapeutique VIH. [En ligne]. Disponible : </w:t>
      </w:r>
      <w:r>
        <w:rPr>
          <w:rFonts w:ascii="Century Gothic" w:eastAsia="Century Gothic" w:hAnsi="Century Gothic" w:cs="Century Gothic"/>
          <w:color w:val="0000FF"/>
          <w:sz w:val="22"/>
          <w:szCs w:val="22"/>
        </w:rPr>
        <w:t>http://www.guidetherapeutiquevih.com</w:t>
      </w:r>
    </w:p>
    <w:sectPr w:rsidR="003471CC">
      <w:footerReference w:type="default" r:id="rId8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F1" w:rsidRDefault="005547F1">
      <w:r>
        <w:separator/>
      </w:r>
    </w:p>
  </w:endnote>
  <w:endnote w:type="continuationSeparator" w:id="0">
    <w:p w:rsidR="005547F1" w:rsidRDefault="0055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ED" w:rsidRPr="00364FED" w:rsidRDefault="00364FED" w:rsidP="00364F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hyperlink r:id="rId1">
      <w:r>
        <w:rPr>
          <w:color w:val="0563C1"/>
          <w:u w:val="single"/>
        </w:rPr>
        <w:t>www.guidetherapeutiqueVIH.com</w:t>
      </w:r>
    </w:hyperlink>
    <w:r>
      <w:rPr>
        <w:color w:val="000000"/>
      </w:rPr>
      <w:t xml:space="preserve">  </w:t>
    </w:r>
    <w:r>
      <w:tab/>
    </w:r>
    <w:r>
      <w:tab/>
      <w:t>Octobre 2020</w:t>
    </w:r>
  </w:p>
  <w:p w:rsidR="003471CC" w:rsidRDefault="003471CC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F1" w:rsidRDefault="005547F1">
      <w:r>
        <w:separator/>
      </w:r>
    </w:p>
  </w:footnote>
  <w:footnote w:type="continuationSeparator" w:id="0">
    <w:p w:rsidR="005547F1" w:rsidRDefault="00554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1FD"/>
    <w:multiLevelType w:val="multilevel"/>
    <w:tmpl w:val="E4089B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60399"/>
    <w:multiLevelType w:val="multilevel"/>
    <w:tmpl w:val="56265B3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BB3B0C"/>
    <w:multiLevelType w:val="multilevel"/>
    <w:tmpl w:val="090C770E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3">
    <w:nsid w:val="16E44F94"/>
    <w:multiLevelType w:val="multilevel"/>
    <w:tmpl w:val="4F34D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31D7A"/>
    <w:multiLevelType w:val="multilevel"/>
    <w:tmpl w:val="2320F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D62D1"/>
    <w:multiLevelType w:val="multilevel"/>
    <w:tmpl w:val="63D444B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nsid w:val="5C46454B"/>
    <w:multiLevelType w:val="multilevel"/>
    <w:tmpl w:val="18B88FFC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EB20D44"/>
    <w:multiLevelType w:val="multilevel"/>
    <w:tmpl w:val="1E3AD942"/>
    <w:lvl w:ilvl="0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84A3E9A"/>
    <w:multiLevelType w:val="multilevel"/>
    <w:tmpl w:val="AA5AAFBC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71CC"/>
    <w:rsid w:val="003471CC"/>
    <w:rsid w:val="00364FED"/>
    <w:rsid w:val="0055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64FE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64FED"/>
  </w:style>
  <w:style w:type="paragraph" w:styleId="Pieddepage">
    <w:name w:val="footer"/>
    <w:basedOn w:val="Normal"/>
    <w:link w:val="PieddepageCar"/>
    <w:uiPriority w:val="99"/>
    <w:unhideWhenUsed/>
    <w:rsid w:val="00364FE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4FED"/>
  </w:style>
  <w:style w:type="paragraph" w:styleId="Textedebulles">
    <w:name w:val="Balloon Text"/>
    <w:basedOn w:val="Normal"/>
    <w:link w:val="TextedebullesCar"/>
    <w:uiPriority w:val="99"/>
    <w:semiHidden/>
    <w:unhideWhenUsed/>
    <w:rsid w:val="00364F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64FE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64FED"/>
  </w:style>
  <w:style w:type="paragraph" w:styleId="Pieddepage">
    <w:name w:val="footer"/>
    <w:basedOn w:val="Normal"/>
    <w:link w:val="PieddepageCar"/>
    <w:uiPriority w:val="99"/>
    <w:unhideWhenUsed/>
    <w:rsid w:val="00364FE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4FED"/>
  </w:style>
  <w:style w:type="paragraph" w:styleId="Textedebulles">
    <w:name w:val="Balloon Text"/>
    <w:basedOn w:val="Normal"/>
    <w:link w:val="TextedebullesCar"/>
    <w:uiPriority w:val="99"/>
    <w:semiHidden/>
    <w:unhideWhenUsed/>
    <w:rsid w:val="00364F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773</Words>
  <Characters>4254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Claude</cp:lastModifiedBy>
  <cp:revision>2</cp:revision>
  <dcterms:created xsi:type="dcterms:W3CDTF">2020-10-27T15:06:00Z</dcterms:created>
  <dcterms:modified xsi:type="dcterms:W3CDTF">2020-10-27T15:11:00Z</dcterms:modified>
</cp:coreProperties>
</file>