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3B" w:rsidRDefault="00F51489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561C3B" w:rsidRDefault="00561C3B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anticonvulsivants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132493">
        <w:rPr>
          <w:rFonts w:ascii="Century Gothic" w:eastAsia="Century Gothic" w:hAnsi="Century Gothic" w:cs="Century Gothic"/>
          <w:b/>
          <w:sz w:val="22"/>
          <w:szCs w:val="22"/>
        </w:rPr>
        <w:t>Triumeq</w:t>
      </w:r>
      <w:proofErr w:type="spellEnd"/>
      <w:r w:rsidR="00132493"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132493"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 w:rsidR="00132493"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 w:rsidR="00132493"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561C3B" w:rsidRDefault="00561C3B">
      <w:pPr>
        <w:jc w:val="center"/>
        <w:rPr>
          <w:rFonts w:ascii="Century Gothic" w:eastAsia="Century Gothic" w:hAnsi="Century Gothic" w:cs="Century Gothic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Interaction entre :</w:t>
      </w:r>
    </w:p>
    <w:p w:rsidR="00561C3B" w:rsidRDefault="00F51489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Carbamazépine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Tegretol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F51489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Oxcarbazépine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Trileptal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F51489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Phénobarbital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Luminal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F51489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Phénytoïne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Dilantin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F51489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Felbamate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Felbatol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F51489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Primidone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Mysoline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561C3B" w:rsidRDefault="00F51489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Pr="00132493" w:rsidRDefault="00F51489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132493" w:rsidRDefault="00132493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F51489">
      <w:pPr>
        <w:numPr>
          <w:ilvl w:val="0"/>
          <w:numId w:val="6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Une diminution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peut survenir lors de l’administration concomitante avec un anticonvulsivant mentionné ci-haut. Voici pourquoi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1-</w:t>
      </w:r>
      <w:r w:rsidR="00132493">
        <w:rPr>
          <w:rFonts w:ascii="Century Gothic" w:eastAsia="Century Gothic" w:hAnsi="Century Gothic" w:cs="Century Gothic"/>
          <w:sz w:val="22"/>
          <w:szCs w:val="22"/>
          <w:vertAlign w:val="superscript"/>
        </w:rPr>
        <w:t>7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561C3B" w:rsidRDefault="00F51489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Ces anticonvulsivants sont des inducteurs enzymatiques des CYP-3A et UGT-1A.</w:t>
      </w:r>
    </w:p>
    <w:p w:rsidR="00561C3B" w:rsidRDefault="00F51489">
      <w:pPr>
        <w:numPr>
          <w:ilvl w:val="1"/>
          <w:numId w:val="3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métabolisme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implique l’UGT-1A1 et le CYP-3A4.</w:t>
      </w:r>
    </w:p>
    <w:p w:rsidR="00561C3B" w:rsidRDefault="00F51489">
      <w:pPr>
        <w:numPr>
          <w:ilvl w:val="1"/>
          <w:numId w:val="3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L’induction peut diminuer la concentration plasmatique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son efficacité clinique.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Pour de plus amples informations, voici une étude évaluant l’interaction entre la </w:t>
      </w: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carbamazépine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et le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:</w:t>
      </w: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Étude clinique chez des volontaires sains </w:t>
      </w:r>
      <w:r w:rsidR="00132493">
        <w:rPr>
          <w:rFonts w:ascii="Century Gothic" w:eastAsia="Century Gothic" w:hAnsi="Century Gothic" w:cs="Century Gothic"/>
          <w:sz w:val="22"/>
          <w:szCs w:val="22"/>
          <w:vertAlign w:val="superscript"/>
        </w:rPr>
        <w:t>6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 </w:t>
      </w:r>
    </w:p>
    <w:p w:rsidR="00561C3B" w:rsidRDefault="00F51489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50 mg DIE + Carbamazépine 100-300 mg BID, 21 jours : </w:t>
      </w:r>
    </w:p>
    <w:p w:rsidR="00561C3B" w:rsidRDefault="00F51489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↓49% de la SSC et ↓73% de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r>
        <w:rPr>
          <w:rFonts w:ascii="Century Gothic" w:eastAsia="Century Gothic" w:hAnsi="Century Gothic" w:cs="Century Gothic"/>
          <w:sz w:val="22"/>
          <w:szCs w:val="22"/>
        </w:rPr>
        <w:t>Les autres anticonvulsivants n’ont pas été étudiés, mais une diminution est attendue du fait de l’induction des enzymes UGT-1A1 et CYP-3A4. Par conséquent, la monographie recommande l’administration du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ou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à la posologie de 50 mg BID lorsque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-administré avec un inducteur métabolique.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1-</w:t>
      </w:r>
      <w:r w:rsidR="00132493">
        <w:rPr>
          <w:rFonts w:ascii="Century Gothic" w:eastAsia="Century Gothic" w:hAnsi="Century Gothic" w:cs="Century Gothic"/>
          <w:sz w:val="22"/>
          <w:szCs w:val="22"/>
          <w:vertAlign w:val="superscript"/>
        </w:rPr>
        <w:t>4</w:t>
      </w:r>
    </w:p>
    <w:p w:rsidR="00561C3B" w:rsidRDefault="00F5148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L’association avec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n’est pas recommandée. </w:t>
      </w:r>
    </w:p>
    <w:p w:rsidR="00561C3B" w:rsidRDefault="00561C3B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Étant donnée le risque de résistance associée à la diminuti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on des concentrations plasmatiques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(mutations), ce dernier devrait être évité (ou l’anticonvulsivant inducteur métabolique) dans le cas où une résistance aux inhibiteurs de l’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intégrase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(INI) a été documentée.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1-</w:t>
      </w:r>
      <w:r w:rsidR="00132493">
        <w:rPr>
          <w:rFonts w:ascii="Century Gothic" w:eastAsia="Century Gothic" w:hAnsi="Century Gothic" w:cs="Century Gothic"/>
          <w:sz w:val="22"/>
          <w:szCs w:val="22"/>
          <w:vertAlign w:val="superscript"/>
        </w:rPr>
        <w:t>4</w:t>
      </w:r>
    </w:p>
    <w:p w:rsidR="00561C3B" w:rsidRDefault="00561C3B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Puisque peu de données sur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Primidone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Felbamate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mais considérant leur effet d’induction métabolique, il est recommandé d’éviter la combinaison si possible. </w:t>
      </w:r>
      <w:r>
        <w:br w:type="page"/>
      </w:r>
    </w:p>
    <w:p w:rsidR="00561C3B" w:rsidRDefault="00F5148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 xml:space="preserve">Options thérapeutiques possibles : 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Tivicay</w:t>
      </w:r>
      <w:proofErr w:type="spellEnd"/>
      <w:proofErr w:type="gramStart"/>
      <w:r>
        <w:rPr>
          <w:rFonts w:ascii="Century Gothic" w:eastAsia="Century Gothic" w:hAnsi="Century Gothic" w:cs="Century Gothic"/>
          <w:i/>
          <w:sz w:val="22"/>
          <w:szCs w:val="22"/>
        </w:rPr>
        <w:t>)</w:t>
      </w:r>
      <w:r>
        <w:rPr>
          <w:rFonts w:ascii="Century Gothic" w:eastAsia="Century Gothic" w:hAnsi="Century Gothic" w:cs="Century Gothic"/>
          <w:i/>
          <w:sz w:val="22"/>
          <w:szCs w:val="22"/>
          <w:vertAlign w:val="superscript"/>
        </w:rPr>
        <w:t>1</w:t>
      </w:r>
      <w:proofErr w:type="gramEnd"/>
      <w:r>
        <w:rPr>
          <w:rFonts w:ascii="Century Gothic" w:eastAsia="Century Gothic" w:hAnsi="Century Gothic" w:cs="Century Gothic"/>
          <w:i/>
          <w:sz w:val="22"/>
          <w:szCs w:val="22"/>
          <w:vertAlign w:val="superscript"/>
        </w:rPr>
        <w:t>-2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: </w:t>
      </w:r>
    </w:p>
    <w:p w:rsidR="00561C3B" w:rsidRDefault="00F51489">
      <w:pPr>
        <w:numPr>
          <w:ilvl w:val="0"/>
          <w:numId w:val="5"/>
        </w:numPr>
        <w:spacing w:before="20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chez un patient naïf aux INI :</w:t>
      </w:r>
    </w:p>
    <w:p w:rsidR="00561C3B" w:rsidRDefault="00F5148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Augmenter la fréquence d’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administration 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du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à 50 mg BID</w:t>
      </w:r>
    </w:p>
    <w:p w:rsidR="00561C3B" w:rsidRDefault="00F514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chez un patient avec résistance aux INI documentée ou signes et symptômes cliniques d’échec à la thérapie 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561C3B" w:rsidRDefault="00F51489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l’anticonvulsivant par un anticonvulsivant qui n’a pas d’effet d’induction sur UGT et CYP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footnoteReference w:id="1"/>
      </w:r>
      <w:r>
        <w:rPr>
          <w:rFonts w:ascii="Century Gothic" w:eastAsia="Century Gothic" w:hAnsi="Century Gothic" w:cs="Century Gothic"/>
          <w:sz w:val="22"/>
          <w:szCs w:val="22"/>
        </w:rPr>
        <w:t xml:space="preserve">*. </w:t>
      </w:r>
    </w:p>
    <w:p w:rsidR="00561C3B" w:rsidRDefault="00F51489">
      <w:pPr>
        <w:ind w:left="2520" w:hanging="108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</w:t>
      </w:r>
    </w:p>
    <w:p w:rsidR="00561C3B" w:rsidRDefault="00F51489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pour un autre antirétroviral : </w:t>
      </w:r>
    </w:p>
    <w:p w:rsidR="00561C3B" w:rsidRDefault="00F51489">
      <w:pPr>
        <w:ind w:left="144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</w:t>
      </w:r>
    </w:p>
    <w:p w:rsidR="00561C3B" w:rsidRDefault="00561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hnd1czebm4o1" w:colFirst="0" w:colLast="0"/>
      <w:bookmarkEnd w:id="0"/>
    </w:p>
    <w:p w:rsidR="00561C3B" w:rsidRDefault="00F5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yg1al7z4g3w1" w:colFirst="0" w:colLast="0"/>
      <w:bookmarkEnd w:id="1"/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 w:rsidR="00132493">
        <w:rPr>
          <w:rFonts w:ascii="Century Gothic" w:eastAsia="Century Gothic" w:hAnsi="Century Gothic" w:cs="Century Gothic"/>
          <w:sz w:val="22"/>
          <w:szCs w:val="22"/>
        </w:rPr>
        <w:t xml:space="preserve"> ou </w:t>
      </w:r>
      <w:proofErr w:type="spellStart"/>
      <w:r w:rsidR="00132493"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3</w:t>
      </w:r>
      <w:r w:rsidR="00132493">
        <w:rPr>
          <w:rFonts w:ascii="Century Gothic" w:eastAsia="Century Gothic" w:hAnsi="Century Gothic" w:cs="Century Gothic"/>
          <w:sz w:val="22"/>
          <w:szCs w:val="22"/>
          <w:vertAlign w:val="superscript"/>
        </w:rPr>
        <w:t>-4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: </w:t>
      </w:r>
    </w:p>
    <w:p w:rsidR="00561C3B" w:rsidRDefault="00F51489">
      <w:pPr>
        <w:numPr>
          <w:ilvl w:val="0"/>
          <w:numId w:val="5"/>
        </w:numPr>
        <w:spacing w:before="20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>chez un patient naïf aux INI :</w:t>
      </w:r>
    </w:p>
    <w:p w:rsidR="00561C3B" w:rsidRDefault="00F51489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Augmenter la fréquence d’administration 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BID et espacer les prises de 12 heures. </w:t>
      </w:r>
    </w:p>
    <w:p w:rsidR="00561C3B" w:rsidRDefault="00F51489">
      <w:pPr>
        <w:numPr>
          <w:ilvl w:val="0"/>
          <w:numId w:val="8"/>
        </w:numPr>
        <w:spacing w:before="20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chez un patient avec résistance aux INI </w:t>
      </w:r>
      <w:r>
        <w:rPr>
          <w:rFonts w:ascii="Century Gothic" w:eastAsia="Century Gothic" w:hAnsi="Century Gothic" w:cs="Century Gothic"/>
          <w:i/>
          <w:sz w:val="22"/>
          <w:szCs w:val="22"/>
        </w:rPr>
        <w:t>documentée ou signes et symptômes cliniques d’échec à la thérapie 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561C3B" w:rsidRDefault="00F51489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l’anticonvulsivant par un anticonvulsivant qui n’a pas d’effet d’induction sur UGT et CYP. </w:t>
      </w:r>
    </w:p>
    <w:p w:rsidR="00561C3B" w:rsidRDefault="00F51489">
      <w:pPr>
        <w:ind w:left="2520" w:hanging="108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</w:t>
      </w:r>
    </w:p>
    <w:p w:rsidR="00561C3B" w:rsidRDefault="00F51489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pour un autre antirétroviral : </w:t>
      </w:r>
      <w:bookmarkStart w:id="2" w:name="_GoBack"/>
      <w:bookmarkEnd w:id="2"/>
    </w:p>
    <w:p w:rsidR="00561C3B" w:rsidRDefault="00F51489">
      <w:pPr>
        <w:ind w:left="144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</w:t>
      </w:r>
    </w:p>
    <w:p w:rsidR="00561C3B" w:rsidRDefault="00561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3" w:name="_hutll47lz0p0" w:colFirst="0" w:colLast="0"/>
      <w:bookmarkEnd w:id="3"/>
    </w:p>
    <w:p w:rsidR="00561C3B" w:rsidRDefault="00F51489">
      <w:pPr>
        <w:ind w:left="72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) </w:t>
      </w:r>
      <w:r w:rsidR="00132493">
        <w:rPr>
          <w:rFonts w:ascii="Century Gothic" w:eastAsia="Century Gothic" w:hAnsi="Century Gothic" w:cs="Century Gothic"/>
          <w:i/>
          <w:sz w:val="22"/>
          <w:szCs w:val="22"/>
          <w:vertAlign w:val="superscript"/>
        </w:rPr>
        <w:t>5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: </w:t>
      </w:r>
    </w:p>
    <w:p w:rsidR="00561C3B" w:rsidRDefault="00F51489">
      <w:pPr>
        <w:spacing w:before="200"/>
        <w:ind w:left="72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** L’association est contre-indiquée avec les anticonvulsivants **</w:t>
      </w:r>
    </w:p>
    <w:p w:rsidR="00561C3B" w:rsidRDefault="00F51489">
      <w:pPr>
        <w:numPr>
          <w:ilvl w:val="0"/>
          <w:numId w:val="9"/>
        </w:numPr>
        <w:spacing w:before="200"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l’anticonvulsivant par un anticonvulsivant qui n’a pas d’effet d’induction sur UGT et CYP. </w:t>
      </w:r>
    </w:p>
    <w:p w:rsidR="00561C3B" w:rsidRDefault="00F51489">
      <w:pPr>
        <w:ind w:left="2520" w:hanging="108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______________________________________________________________</w:t>
      </w:r>
    </w:p>
    <w:p w:rsidR="00561C3B" w:rsidRDefault="00F51489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Envisager de changer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pour un autre antirétroviral : </w:t>
      </w:r>
    </w:p>
    <w:p w:rsidR="00561C3B" w:rsidRDefault="00F51489">
      <w:pPr>
        <w:ind w:left="1440"/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</w:t>
      </w: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</w:t>
      </w:r>
    </w:p>
    <w:p w:rsidR="00561C3B" w:rsidRDefault="00561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bookmarkStart w:id="4" w:name="_gjdgxs" w:colFirst="0" w:colLast="0"/>
      <w:bookmarkEnd w:id="4"/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Suivi :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</w:t>
      </w:r>
    </w:p>
    <w:p w:rsidR="00561C3B" w:rsidRDefault="00F514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Surveiller l’efficacité thérapeutique du traitement anti-VIH, charge virale et CD4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+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br w:type="page"/>
      </w:r>
    </w:p>
    <w:p w:rsidR="00561C3B" w:rsidRDefault="00F51489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Suggestion de la pharmacie ou nouvelle prescription : 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561C3B">
        <w:tc>
          <w:tcPr>
            <w:tcW w:w="9396" w:type="dxa"/>
          </w:tcPr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 : _____________________________</w:t>
            </w:r>
          </w:p>
        </w:tc>
      </w:tr>
      <w:tr w:rsidR="00561C3B">
        <w:tc>
          <w:tcPr>
            <w:tcW w:w="9396" w:type="dxa"/>
          </w:tcPr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561C3B" w:rsidRDefault="00561C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61C3B" w:rsidRDefault="00561C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61C3B" w:rsidRDefault="00561C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61C3B" w:rsidRDefault="00561C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Renouvellements : _____</w:t>
            </w:r>
          </w:p>
          <w:p w:rsidR="00561C3B" w:rsidRDefault="00561C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61C3B" w:rsidRDefault="00561C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61C3B" w:rsidRDefault="00561C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Numéro de pratique : __________    Signature : __________</w:t>
            </w:r>
          </w:p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561C3B" w:rsidRDefault="00F51489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 : ____________________     #Télécopieur : ________________</w:t>
            </w:r>
          </w:p>
        </w:tc>
      </w:tr>
      <w:tr w:rsidR="00561C3B">
        <w:tc>
          <w:tcPr>
            <w:tcW w:w="9396" w:type="dxa"/>
          </w:tcPr>
          <w:p w:rsidR="00561C3B" w:rsidRDefault="00F51489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561C3B" w:rsidRDefault="00F5148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Je certifie que : </w:t>
            </w:r>
          </w:p>
          <w:p w:rsidR="00561C3B" w:rsidRDefault="00F51489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cette ordonnance est une ordonnance originale, </w:t>
            </w:r>
          </w:p>
          <w:p w:rsidR="00561C3B" w:rsidRDefault="00F51489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le pharmacien identifié précité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est le seul destinataire, </w:t>
            </w:r>
          </w:p>
          <w:p w:rsidR="00561C3B" w:rsidRDefault="00F51489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l’original ne sera pas réutilisé.</w:t>
            </w:r>
          </w:p>
        </w:tc>
      </w:tr>
    </w:tbl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561C3B" w:rsidRDefault="00F5148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 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61C3B" w:rsidRDefault="00561C3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561C3B" w:rsidRDefault="00F5148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br w:type="page"/>
      </w:r>
    </w:p>
    <w:p w:rsidR="00561C3B" w:rsidRDefault="00F5148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Références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561C3B" w:rsidRDefault="00132493">
      <w:pPr>
        <w:numPr>
          <w:ilvl w:val="0"/>
          <w:numId w:val="10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TIVICAY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10, 25 et 50 mg), numéro de contrôle de la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233258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</w:t>
      </w:r>
      <w:r w:rsidR="00F51489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561C3B" w:rsidRPr="00132493" w:rsidRDefault="00F51489">
      <w:pPr>
        <w:numPr>
          <w:ilvl w:val="0"/>
          <w:numId w:val="10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>Tivicay</w:t>
      </w:r>
      <w:proofErr w:type="spellEnd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US Prescribing Information, reference </w:t>
      </w:r>
      <w:proofErr w:type="gramStart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>ID :</w:t>
      </w:r>
      <w:proofErr w:type="gramEnd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3943644, </w:t>
      </w:r>
      <w:proofErr w:type="spellStart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>Viiv</w:t>
      </w:r>
      <w:proofErr w:type="spellEnd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Healthcare, June 2016.</w:t>
      </w:r>
    </w:p>
    <w:p w:rsidR="00561C3B" w:rsidRDefault="00132493">
      <w:pPr>
        <w:widowControl w:val="0"/>
        <w:numPr>
          <w:ilvl w:val="0"/>
          <w:numId w:val="10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TRIUMEQ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d’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50, 600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233245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</w:t>
      </w:r>
      <w:r w:rsidR="00F51489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132493" w:rsidRDefault="00132493">
      <w:pPr>
        <w:widowControl w:val="0"/>
        <w:numPr>
          <w:ilvl w:val="0"/>
          <w:numId w:val="10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DOVATO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233469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Septembre 2020.</w:t>
      </w:r>
    </w:p>
    <w:p w:rsidR="00561C3B" w:rsidRDefault="00F51489">
      <w:pPr>
        <w:widowControl w:val="0"/>
        <w:numPr>
          <w:ilvl w:val="0"/>
          <w:numId w:val="10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JULUCA (comprimé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25 mg), numéro de contrôle de la présentation : 206402,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healthc</w:t>
      </w:r>
      <w:r>
        <w:rPr>
          <w:rFonts w:ascii="Century Gothic" w:eastAsia="Century Gothic" w:hAnsi="Century Gothic" w:cs="Century Gothic"/>
          <w:sz w:val="22"/>
          <w:szCs w:val="22"/>
        </w:rPr>
        <w:t>are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ULC, Québec, Canada, Août 2018.</w:t>
      </w:r>
    </w:p>
    <w:p w:rsidR="00561C3B" w:rsidRPr="00132493" w:rsidRDefault="00F51489">
      <w:pPr>
        <w:numPr>
          <w:ilvl w:val="0"/>
          <w:numId w:val="10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Song I, Weller S, Patel J, Borland J, Wynne B et al. Effect of carbamazepine on </w:t>
      </w:r>
      <w:proofErr w:type="spellStart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>dolutegravir</w:t>
      </w:r>
      <w:proofErr w:type="spellEnd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pharmacokinetics and dosing recommendation. </w:t>
      </w:r>
      <w:proofErr w:type="spellStart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>Eur</w:t>
      </w:r>
      <w:proofErr w:type="spellEnd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J </w:t>
      </w:r>
      <w:proofErr w:type="spellStart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>Clin</w:t>
      </w:r>
      <w:proofErr w:type="spellEnd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>Pharmacol</w:t>
      </w:r>
      <w:proofErr w:type="spellEnd"/>
      <w:r w:rsidRPr="0013249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2016; 72: 665-670.</w:t>
      </w:r>
    </w:p>
    <w:p w:rsidR="00561C3B" w:rsidRDefault="00F5148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Guide thérapeutique VIH. [En ligne]. Dispon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ible : </w:t>
      </w:r>
      <w:hyperlink r:id="rId8">
        <w:r>
          <w:rPr>
            <w:rFonts w:ascii="Century Gothic" w:eastAsia="Century Gothic" w:hAnsi="Century Gothic" w:cs="Century Gothic"/>
            <w:color w:val="1155CC"/>
            <w:sz w:val="22"/>
            <w:szCs w:val="22"/>
            <w:u w:val="single"/>
          </w:rPr>
          <w:t>http://www.guidetherapeutiquevih.com</w:t>
        </w:r>
      </w:hyperlink>
      <w:r>
        <w:rPr>
          <w:rFonts w:ascii="Century Gothic" w:eastAsia="Century Gothic" w:hAnsi="Century Gothic" w:cs="Century Gothic"/>
          <w:color w:val="0000FF"/>
          <w:sz w:val="22"/>
          <w:szCs w:val="22"/>
        </w:rPr>
        <w:t xml:space="preserve"> </w:t>
      </w:r>
    </w:p>
    <w:p w:rsidR="00561C3B" w:rsidRDefault="00561C3B">
      <w:pPr>
        <w:jc w:val="center"/>
      </w:pPr>
    </w:p>
    <w:sectPr w:rsidR="00561C3B">
      <w:footerReference w:type="default" r:id="rId9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89" w:rsidRDefault="00F51489">
      <w:r>
        <w:separator/>
      </w:r>
    </w:p>
  </w:endnote>
  <w:endnote w:type="continuationSeparator" w:id="0">
    <w:p w:rsidR="00F51489" w:rsidRDefault="00F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93" w:rsidRPr="00132493" w:rsidRDefault="00132493" w:rsidP="001324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hyperlink r:id="rId1">
      <w:r>
        <w:rPr>
          <w:color w:val="0563C1"/>
          <w:u w:val="single"/>
        </w:rPr>
        <w:t>www.guidetherapeutiqueVIH.com</w:t>
      </w:r>
    </w:hyperlink>
    <w:r>
      <w:rPr>
        <w:color w:val="000000"/>
      </w:rPr>
      <w:t xml:space="preserve">  </w:t>
    </w:r>
    <w:r>
      <w:tab/>
    </w:r>
    <w:r>
      <w:tab/>
      <w:t>Octobre 2020</w:t>
    </w:r>
  </w:p>
  <w:p w:rsidR="00561C3B" w:rsidRDefault="00561C3B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89" w:rsidRDefault="00F51489">
      <w:r>
        <w:separator/>
      </w:r>
    </w:p>
  </w:footnote>
  <w:footnote w:type="continuationSeparator" w:id="0">
    <w:p w:rsidR="00F51489" w:rsidRDefault="00F51489">
      <w:r>
        <w:continuationSeparator/>
      </w:r>
    </w:p>
  </w:footnote>
  <w:footnote w:id="1">
    <w:p w:rsidR="00561C3B" w:rsidRDefault="00F51489">
      <w:pPr>
        <w:rPr>
          <w:i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sz w:val="22"/>
          <w:szCs w:val="22"/>
        </w:rPr>
        <w:t xml:space="preserve">* Anticonvulsivants suggérés comme solution de rechange : </w:t>
      </w:r>
      <w:proofErr w:type="spellStart"/>
      <w:r>
        <w:rPr>
          <w:i/>
          <w:sz w:val="22"/>
          <w:szCs w:val="22"/>
        </w:rPr>
        <w:t>Gabapentine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prégabaline</w:t>
      </w:r>
      <w:proofErr w:type="spellEnd"/>
      <w:r>
        <w:rPr>
          <w:i/>
          <w:sz w:val="22"/>
          <w:szCs w:val="22"/>
        </w:rPr>
        <w:t xml:space="preserve">, acide </w:t>
      </w:r>
      <w:proofErr w:type="spellStart"/>
      <w:r>
        <w:rPr>
          <w:i/>
          <w:sz w:val="22"/>
          <w:szCs w:val="22"/>
        </w:rPr>
        <w:t>valproïque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clobazam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lévétiracétam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to</w:t>
      </w:r>
      <w:r>
        <w:rPr>
          <w:i/>
          <w:sz w:val="22"/>
          <w:szCs w:val="22"/>
        </w:rPr>
        <w:t>piramate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lacosamide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clonazépam</w:t>
      </w:r>
      <w:proofErr w:type="spellEnd"/>
      <w:r>
        <w:rPr>
          <w:i/>
          <w:sz w:val="22"/>
          <w:szCs w:val="22"/>
        </w:rPr>
        <w:t xml:space="preserve"> ou </w:t>
      </w:r>
      <w:proofErr w:type="spellStart"/>
      <w:r>
        <w:rPr>
          <w:i/>
          <w:sz w:val="22"/>
          <w:szCs w:val="22"/>
        </w:rPr>
        <w:t>lamotrigine</w:t>
      </w:r>
      <w:proofErr w:type="spellEnd"/>
      <w:r>
        <w:rPr>
          <w:i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673"/>
    <w:multiLevelType w:val="multilevel"/>
    <w:tmpl w:val="5EF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38C1190"/>
    <w:multiLevelType w:val="multilevel"/>
    <w:tmpl w:val="FF7842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C5219E5"/>
    <w:multiLevelType w:val="multilevel"/>
    <w:tmpl w:val="3A60E46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EC27BB"/>
    <w:multiLevelType w:val="multilevel"/>
    <w:tmpl w:val="C2387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7691"/>
    <w:multiLevelType w:val="multilevel"/>
    <w:tmpl w:val="EDB49C4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BDC7B21"/>
    <w:multiLevelType w:val="multilevel"/>
    <w:tmpl w:val="C7F49668"/>
    <w:lvl w:ilvl="0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25841FB"/>
    <w:multiLevelType w:val="multilevel"/>
    <w:tmpl w:val="E824449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B6868C2"/>
    <w:multiLevelType w:val="multilevel"/>
    <w:tmpl w:val="742AF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E0A565A"/>
    <w:multiLevelType w:val="multilevel"/>
    <w:tmpl w:val="212048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973127F"/>
    <w:multiLevelType w:val="multilevel"/>
    <w:tmpl w:val="6F685AF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1C3B"/>
    <w:rsid w:val="00132493"/>
    <w:rsid w:val="00561C3B"/>
    <w:rsid w:val="00F5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24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32493"/>
  </w:style>
  <w:style w:type="paragraph" w:styleId="Pieddepage">
    <w:name w:val="footer"/>
    <w:basedOn w:val="Normal"/>
    <w:link w:val="PieddepageCar"/>
    <w:uiPriority w:val="99"/>
    <w:unhideWhenUsed/>
    <w:rsid w:val="001324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493"/>
  </w:style>
  <w:style w:type="paragraph" w:styleId="Textedebulles">
    <w:name w:val="Balloon Text"/>
    <w:basedOn w:val="Normal"/>
    <w:link w:val="TextedebullesCar"/>
    <w:uiPriority w:val="99"/>
    <w:semiHidden/>
    <w:unhideWhenUsed/>
    <w:rsid w:val="001324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24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32493"/>
  </w:style>
  <w:style w:type="paragraph" w:styleId="Pieddepage">
    <w:name w:val="footer"/>
    <w:basedOn w:val="Normal"/>
    <w:link w:val="PieddepageCar"/>
    <w:uiPriority w:val="99"/>
    <w:unhideWhenUsed/>
    <w:rsid w:val="001324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493"/>
  </w:style>
  <w:style w:type="paragraph" w:styleId="Textedebulles">
    <w:name w:val="Balloon Text"/>
    <w:basedOn w:val="Normal"/>
    <w:link w:val="TextedebullesCar"/>
    <w:uiPriority w:val="99"/>
    <w:semiHidden/>
    <w:unhideWhenUsed/>
    <w:rsid w:val="001324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therapeutiquevi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</cp:lastModifiedBy>
  <cp:revision>2</cp:revision>
  <dcterms:created xsi:type="dcterms:W3CDTF">2020-10-27T14:33:00Z</dcterms:created>
  <dcterms:modified xsi:type="dcterms:W3CDTF">2020-10-27T14:40:00Z</dcterms:modified>
</cp:coreProperties>
</file>