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Opinion pharmaceutique </w:t>
      </w:r>
    </w:p>
    <w:p w:rsidR="00000000" w:rsidDel="00000000" w:rsidP="00000000" w:rsidRDefault="00000000" w:rsidRPr="00000000" w14:paraId="00000001">
      <w:pPr>
        <w:contextualSpacing w:val="0"/>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2">
      <w:pPr>
        <w:contextualSpacing w:val="0"/>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Interaction entre Cholestyramine, Colestipol et Raltégravir (Isentress &amp; Isentress HD)</w:t>
      </w:r>
    </w:p>
    <w:p w:rsidR="00000000" w:rsidDel="00000000" w:rsidP="00000000" w:rsidRDefault="00000000" w:rsidRPr="00000000" w14:paraId="00000003">
      <w:pPr>
        <w:contextualSpacing w:val="0"/>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Patient(e) : _________________________</w:t>
        <w:tab/>
        <w:tab/>
        <w:tab/>
        <w:t xml:space="preserve">DDN : _____/_____/_____</w:t>
      </w:r>
    </w:p>
    <w:p w:rsidR="00000000" w:rsidDel="00000000" w:rsidP="00000000" w:rsidRDefault="00000000" w:rsidRPr="00000000" w14:paraId="00000005">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6">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Après avoir analysé le dossier de votre patient(e), j’ai relevé un problème relié à sa pharmacothérapie. </w:t>
      </w:r>
    </w:p>
    <w:p w:rsidR="00000000" w:rsidDel="00000000" w:rsidP="00000000" w:rsidRDefault="00000000" w:rsidRPr="00000000" w14:paraId="00000007">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8">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Interaction entre :</w:t>
      </w:r>
    </w:p>
    <w:p w:rsidR="00000000" w:rsidDel="00000000" w:rsidP="00000000" w:rsidRDefault="00000000" w:rsidRPr="00000000" w14:paraId="00000009">
      <w:pPr>
        <w:numPr>
          <w:ilvl w:val="0"/>
          <w:numId w:val="4"/>
        </w:numPr>
        <w:ind w:left="720" w:hanging="360"/>
        <w:contextualSpacing w:val="1"/>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Cholestyramine (Questran, Olestyr)</w:t>
      </w:r>
    </w:p>
    <w:p w:rsidR="00000000" w:rsidDel="00000000" w:rsidP="00000000" w:rsidRDefault="00000000" w:rsidRPr="00000000" w14:paraId="0000000A">
      <w:pPr>
        <w:numPr>
          <w:ilvl w:val="0"/>
          <w:numId w:val="4"/>
        </w:numPr>
        <w:ind w:left="720" w:hanging="360"/>
        <w:contextualSpacing w:val="1"/>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Colestipol (Colestid)</w:t>
      </w:r>
    </w:p>
    <w:p w:rsidR="00000000" w:rsidDel="00000000" w:rsidP="00000000" w:rsidRDefault="00000000" w:rsidRPr="00000000" w14:paraId="0000000B">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Et </w:t>
      </w:r>
    </w:p>
    <w:p w:rsidR="00000000" w:rsidDel="00000000" w:rsidP="00000000" w:rsidRDefault="00000000" w:rsidRPr="00000000" w14:paraId="0000000C">
      <w:pPr>
        <w:numPr>
          <w:ilvl w:val="0"/>
          <w:numId w:val="2"/>
        </w:numPr>
        <w:ind w:left="720" w:hanging="360"/>
        <w:contextualSpacing w:val="1"/>
        <w:jc w:val="both"/>
        <w:rPr>
          <w:sz w:val="22"/>
          <w:szCs w:val="22"/>
        </w:rPr>
      </w:pPr>
      <w:r w:rsidDel="00000000" w:rsidR="00000000" w:rsidRPr="00000000">
        <w:rPr>
          <w:rFonts w:ascii="Century Gothic" w:cs="Century Gothic" w:eastAsia="Century Gothic" w:hAnsi="Century Gothic"/>
          <w:sz w:val="22"/>
          <w:szCs w:val="22"/>
          <w:rtl w:val="0"/>
        </w:rPr>
        <w:t xml:space="preserve">Raltégravir (Isentress)</w:t>
      </w:r>
    </w:p>
    <w:p w:rsidR="00000000" w:rsidDel="00000000" w:rsidP="00000000" w:rsidRDefault="00000000" w:rsidRPr="00000000" w14:paraId="0000000D">
      <w:pPr>
        <w:numPr>
          <w:ilvl w:val="0"/>
          <w:numId w:val="2"/>
        </w:numPr>
        <w:ind w:left="720" w:hanging="360"/>
        <w:contextualSpacing w:val="1"/>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Raltégravir HD (Isentress HD)</w:t>
      </w:r>
      <w:r w:rsidDel="00000000" w:rsidR="00000000" w:rsidRPr="00000000">
        <w:rPr>
          <w:rtl w:val="0"/>
        </w:rPr>
      </w:r>
    </w:p>
    <w:p w:rsidR="00000000" w:rsidDel="00000000" w:rsidP="00000000" w:rsidRDefault="00000000" w:rsidRPr="00000000" w14:paraId="0000000E">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F">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Aucune étude n’a été performée. Cependant, étant donné le mécanisme d’action des séquestrants biliaires, une interaction peut avoir lieue. La Cholestyramine et le Colestipol peuvent se lier aux autres médicaments administrés simultanément, diminuer leur absorption et leur efficacité clinique par le même fait. </w:t>
      </w:r>
    </w:p>
    <w:p w:rsidR="00000000" w:rsidDel="00000000" w:rsidP="00000000" w:rsidRDefault="00000000" w:rsidRPr="00000000" w14:paraId="00000010">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Les monographies recommandent d’espacer la prise des médicaments d’au moins 1 heure avant et 4 à 6 heures après la prise des séquestrants biliaires.</w:t>
      </w:r>
      <w:r w:rsidDel="00000000" w:rsidR="00000000" w:rsidRPr="00000000">
        <w:rPr>
          <w:rFonts w:ascii="Century Gothic" w:cs="Century Gothic" w:eastAsia="Century Gothic" w:hAnsi="Century Gothic"/>
          <w:sz w:val="22"/>
          <w:szCs w:val="22"/>
          <w:vertAlign w:val="superscript"/>
          <w:rtl w:val="0"/>
        </w:rPr>
        <w:t xml:space="preserve">1- 3</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11">
      <w:pPr>
        <w:contextualSpacing w:val="0"/>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12">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Option thérapeutique possible : </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Espacer la prise du </w:t>
      </w:r>
      <w:r w:rsidDel="00000000" w:rsidR="00000000" w:rsidRPr="00000000">
        <w:rPr>
          <w:rFonts w:ascii="Century Gothic" w:cs="Century Gothic" w:eastAsia="Century Gothic" w:hAnsi="Century Gothic"/>
          <w:sz w:val="22"/>
          <w:szCs w:val="22"/>
          <w:rtl w:val="0"/>
        </w:rPr>
        <w:t xml:space="preserve">R</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altégravir d’au moins 1 heure avant </w:t>
      </w:r>
      <w:r w:rsidDel="00000000" w:rsidR="00000000" w:rsidRPr="00000000">
        <w:rPr>
          <w:rFonts w:ascii="Century Gothic" w:cs="Century Gothic" w:eastAsia="Century Gothic" w:hAnsi="Century Gothic"/>
          <w:sz w:val="22"/>
          <w:szCs w:val="22"/>
          <w:rtl w:val="0"/>
        </w:rPr>
        <w:t xml:space="preserve">ou</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sz w:val="22"/>
          <w:szCs w:val="22"/>
          <w:rtl w:val="0"/>
        </w:rPr>
        <w:t xml:space="preserve">4 à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6 heures après la prise des séquestrants biliaires</w:t>
      </w:r>
      <w:r w:rsidDel="00000000" w:rsidR="00000000" w:rsidRPr="00000000">
        <w:rPr>
          <w:rFonts w:ascii="Century Gothic" w:cs="Century Gothic" w:eastAsia="Century Gothic" w:hAnsi="Century Gothic"/>
          <w:sz w:val="22"/>
          <w:szCs w:val="22"/>
          <w:rtl w:val="0"/>
        </w:rPr>
        <w:t xml:space="preserve">.</w:t>
      </w:r>
      <w:r w:rsidDel="00000000" w:rsidR="00000000" w:rsidRPr="00000000">
        <w:rPr>
          <w:rtl w:val="0"/>
        </w:rPr>
      </w:r>
    </w:p>
    <w:p w:rsidR="00000000" w:rsidDel="00000000" w:rsidP="00000000" w:rsidRDefault="00000000" w:rsidRPr="00000000" w14:paraId="00000014">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5">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Suivi :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shd w:fill="auto" w:val="clear"/>
          <w:vertAlign w:val="baseline"/>
          <w:rtl w:val="0"/>
        </w:rPr>
        <w:t xml:space="preserve">Surveiller l’efficacité thérapeutique du traitement anti-VIH, charge virale et CD4</w:t>
      </w:r>
      <w:r w:rsidDel="00000000" w:rsidR="00000000" w:rsidRPr="00000000">
        <w:rPr>
          <w:rFonts w:ascii="Century Gothic" w:cs="Century Gothic" w:eastAsia="Century Gothic" w:hAnsi="Century Gothic"/>
          <w:b w:val="0"/>
          <w:i w:val="0"/>
          <w:smallCaps w:val="0"/>
          <w:strike w:val="0"/>
          <w:color w:val="000000"/>
          <w:sz w:val="22"/>
          <w:szCs w:val="22"/>
          <w:shd w:fill="auto" w:val="clear"/>
          <w:vertAlign w:val="superscript"/>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shd w:fill="auto" w:val="clear"/>
          <w:vertAlign w:val="baseline"/>
          <w:rtl w:val="0"/>
        </w:rPr>
        <w:t xml:space="preserve">.</w:t>
      </w:r>
    </w:p>
    <w:p w:rsidR="00000000" w:rsidDel="00000000" w:rsidP="00000000" w:rsidRDefault="00000000" w:rsidRPr="00000000" w14:paraId="00000017">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8">
      <w:pPr>
        <w:contextualSpacing w:val="0"/>
        <w:rPr>
          <w:rFonts w:ascii="Century Gothic" w:cs="Century Gothic" w:eastAsia="Century Gothic" w:hAnsi="Century Gothic"/>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line="288" w:lineRule="auto"/>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Suggestion de la pharmacie ou nouvelle prescription :</w:t>
      </w:r>
    </w:p>
    <w:p w:rsidR="00000000" w:rsidDel="00000000" w:rsidP="00000000" w:rsidRDefault="00000000" w:rsidRPr="00000000" w14:paraId="0000001A">
      <w:pPr>
        <w:contextualSpacing w:val="0"/>
        <w:jc w:val="both"/>
        <w:rPr>
          <w:rFonts w:ascii="Century Gothic" w:cs="Century Gothic" w:eastAsia="Century Gothic" w:hAnsi="Century Gothic"/>
          <w:b w:val="1"/>
          <w:sz w:val="22"/>
          <w:szCs w:val="22"/>
        </w:rPr>
      </w:pPr>
      <w:r w:rsidDel="00000000" w:rsidR="00000000" w:rsidRPr="00000000">
        <w:rPr>
          <w:rtl w:val="0"/>
        </w:rPr>
      </w:r>
    </w:p>
    <w:tbl>
      <w:tblPr>
        <w:tblStyle w:val="Table1"/>
        <w:tblW w:w="8985.0" w:type="dxa"/>
        <w:jc w:val="left"/>
        <w:tblInd w:w="100.0" w:type="pct"/>
        <w:tblLayout w:type="fixed"/>
        <w:tblLook w:val="0600"/>
      </w:tblPr>
      <w:tblGrid>
        <w:gridCol w:w="8985"/>
        <w:tblGridChange w:id="0">
          <w:tblGrid>
            <w:gridCol w:w="8985"/>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B">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Date : _____/_____/_____</w:t>
            </w:r>
          </w:p>
          <w:p w:rsidR="00000000" w:rsidDel="00000000" w:rsidP="00000000" w:rsidRDefault="00000000" w:rsidRPr="00000000" w14:paraId="0000001C">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Patient(e) : ________________________          DDN : _____/_____/_____</w:t>
            </w:r>
          </w:p>
          <w:p w:rsidR="00000000" w:rsidDel="00000000" w:rsidP="00000000" w:rsidRDefault="00000000" w:rsidRPr="00000000" w14:paraId="0000001D">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Téléphone : _____________________________</w:t>
            </w:r>
          </w:p>
        </w:tc>
      </w:tr>
      <w:tr>
        <w:trPr>
          <w:trHeight w:val="3240" w:hRule="atLeast"/>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1E">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Rx :</w:t>
            </w:r>
          </w:p>
          <w:p w:rsidR="00000000" w:rsidDel="00000000" w:rsidP="00000000" w:rsidRDefault="00000000" w:rsidRPr="00000000" w14:paraId="0000001F">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0">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1">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2">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3">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Renouvellements : _____</w:t>
            </w:r>
          </w:p>
          <w:p w:rsidR="00000000" w:rsidDel="00000000" w:rsidP="00000000" w:rsidRDefault="00000000" w:rsidRPr="00000000" w14:paraId="00000024">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5">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6">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7">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Médecin : __________    Numéro de pratique : __________    Signature : __________</w:t>
            </w:r>
          </w:p>
          <w:p w:rsidR="00000000" w:rsidDel="00000000" w:rsidP="00000000" w:rsidRDefault="00000000" w:rsidRPr="00000000" w14:paraId="00000028">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Adresse : ____________________________________________</w:t>
            </w:r>
          </w:p>
          <w:p w:rsidR="00000000" w:rsidDel="00000000" w:rsidP="00000000" w:rsidRDefault="00000000" w:rsidRPr="00000000" w14:paraId="00000029">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#Téléphone : ____________________     #Télécopieur : ________________</w:t>
            </w:r>
          </w:p>
        </w:tc>
      </w:tr>
      <w:tr>
        <w:trPr>
          <w:trHeight w:val="1320" w:hRule="atLeast"/>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A">
            <w:pPr>
              <w:spacing w:line="288" w:lineRule="auto"/>
              <w:ind w:left="-100" w:firstLine="0"/>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Certification du prescripteur </w:t>
            </w:r>
          </w:p>
          <w:p w:rsidR="00000000" w:rsidDel="00000000" w:rsidP="00000000" w:rsidRDefault="00000000" w:rsidRPr="00000000" w14:paraId="0000002B">
            <w:pPr>
              <w:spacing w:line="288" w:lineRule="auto"/>
              <w:ind w:left="-10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Je certifie que :</w:t>
            </w:r>
          </w:p>
          <w:p w:rsidR="00000000" w:rsidDel="00000000" w:rsidP="00000000" w:rsidRDefault="00000000" w:rsidRPr="00000000" w14:paraId="0000002C">
            <w:pPr>
              <w:numPr>
                <w:ilvl w:val="0"/>
                <w:numId w:val="3"/>
              </w:numPr>
              <w:spacing w:line="288" w:lineRule="auto"/>
              <w:ind w:left="620" w:hanging="360"/>
              <w:contextualSpacing w:val="1"/>
              <w:jc w:val="both"/>
              <w:rPr>
                <w:rFonts w:ascii="Noto Sans Symbols" w:cs="Noto Sans Symbols" w:eastAsia="Noto Sans Symbols" w:hAnsi="Noto Sans Symbols"/>
                <w:sz w:val="22"/>
                <w:szCs w:val="22"/>
              </w:rPr>
            </w:pPr>
            <w:r w:rsidDel="00000000" w:rsidR="00000000" w:rsidRPr="00000000">
              <w:rPr>
                <w:rFonts w:ascii="Century Gothic" w:cs="Century Gothic" w:eastAsia="Century Gothic" w:hAnsi="Century Gothic"/>
                <w:sz w:val="22"/>
                <w:szCs w:val="22"/>
                <w:rtl w:val="0"/>
              </w:rPr>
              <w:t xml:space="preserve">cette ordonnance est une ordonnance originale,</w:t>
            </w:r>
          </w:p>
          <w:p w:rsidR="00000000" w:rsidDel="00000000" w:rsidP="00000000" w:rsidRDefault="00000000" w:rsidRPr="00000000" w14:paraId="0000002D">
            <w:pPr>
              <w:numPr>
                <w:ilvl w:val="0"/>
                <w:numId w:val="3"/>
              </w:numPr>
              <w:spacing w:line="288" w:lineRule="auto"/>
              <w:ind w:left="620" w:hanging="360"/>
              <w:contextualSpacing w:val="1"/>
              <w:jc w:val="both"/>
              <w:rPr>
                <w:rFonts w:ascii="Noto Sans Symbols" w:cs="Noto Sans Symbols" w:eastAsia="Noto Sans Symbols" w:hAnsi="Noto Sans Symbols"/>
                <w:sz w:val="22"/>
                <w:szCs w:val="22"/>
              </w:rPr>
            </w:pPr>
            <w:r w:rsidDel="00000000" w:rsidR="00000000" w:rsidRPr="00000000">
              <w:rPr>
                <w:rFonts w:ascii="Century Gothic" w:cs="Century Gothic" w:eastAsia="Century Gothic" w:hAnsi="Century Gothic"/>
                <w:sz w:val="22"/>
                <w:szCs w:val="22"/>
                <w:rtl w:val="0"/>
              </w:rPr>
              <w:t xml:space="preserve">le pharmacien identifié précité est le seul destinataire,</w:t>
            </w:r>
          </w:p>
          <w:p w:rsidR="00000000" w:rsidDel="00000000" w:rsidP="00000000" w:rsidRDefault="00000000" w:rsidRPr="00000000" w14:paraId="0000002E">
            <w:pPr>
              <w:numPr>
                <w:ilvl w:val="0"/>
                <w:numId w:val="3"/>
              </w:numPr>
              <w:spacing w:line="288" w:lineRule="auto"/>
              <w:ind w:left="620" w:hanging="360"/>
              <w:contextualSpacing w:val="1"/>
              <w:jc w:val="both"/>
              <w:rPr>
                <w:rFonts w:ascii="Noto Sans Symbols" w:cs="Noto Sans Symbols" w:eastAsia="Noto Sans Symbols" w:hAnsi="Noto Sans Symbols"/>
                <w:sz w:val="22"/>
                <w:szCs w:val="22"/>
              </w:rPr>
            </w:pPr>
            <w:r w:rsidDel="00000000" w:rsidR="00000000" w:rsidRPr="00000000">
              <w:rPr>
                <w:rFonts w:ascii="Century Gothic" w:cs="Century Gothic" w:eastAsia="Century Gothic" w:hAnsi="Century Gothic"/>
                <w:sz w:val="22"/>
                <w:szCs w:val="22"/>
                <w:rtl w:val="0"/>
              </w:rPr>
              <w:t xml:space="preserve">l’original ne sera pas réutilisé.</w:t>
            </w:r>
          </w:p>
        </w:tc>
      </w:tr>
    </w:tbl>
    <w:p w:rsidR="00000000" w:rsidDel="00000000" w:rsidP="00000000" w:rsidRDefault="00000000" w:rsidRPr="00000000" w14:paraId="0000002F">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0">
      <w:pPr>
        <w:spacing w:line="288" w:lineRule="auto"/>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Veuillez svp nous faire parvenir une copie de cette page avec votre conduite à tenir.</w:t>
      </w:r>
    </w:p>
    <w:p w:rsidR="00000000" w:rsidDel="00000000" w:rsidP="00000000" w:rsidRDefault="00000000" w:rsidRPr="00000000" w14:paraId="00000031">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2">
      <w:pPr>
        <w:spacing w:line="288" w:lineRule="auto"/>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 vous avez besoin d’information complémentaire, n’hésitez pas à communiquer avec moi.</w:t>
      </w:r>
    </w:p>
    <w:p w:rsidR="00000000" w:rsidDel="00000000" w:rsidP="00000000" w:rsidRDefault="00000000" w:rsidRPr="00000000" w14:paraId="00000033">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4">
      <w:pPr>
        <w:spacing w:line="288" w:lineRule="auto"/>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Cordialement,</w:t>
      </w:r>
    </w:p>
    <w:p w:rsidR="00000000" w:rsidDel="00000000" w:rsidP="00000000" w:rsidRDefault="00000000" w:rsidRPr="00000000" w14:paraId="00000035">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6">
      <w:pPr>
        <w:spacing w:line="288" w:lineRule="auto"/>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Pharmacien(ne) : ____________________</w:t>
        <w:tab/>
        <w:t xml:space="preserve">Pharmacie : ____________________</w:t>
      </w:r>
    </w:p>
    <w:p w:rsidR="00000000" w:rsidDel="00000000" w:rsidP="00000000" w:rsidRDefault="00000000" w:rsidRPr="00000000" w14:paraId="00000037">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#Téléphone : ____________________</w:t>
        <w:tab/>
        <w:t xml:space="preserve">#Télécopieur : ____________________</w:t>
      </w:r>
    </w:p>
    <w:p w:rsidR="00000000" w:rsidDel="00000000" w:rsidP="00000000" w:rsidRDefault="00000000" w:rsidRPr="00000000" w14:paraId="00000038">
      <w:pPr>
        <w:contextualSpacing w:val="0"/>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39">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A">
      <w:pPr>
        <w:contextualSpacing w:val="0"/>
        <w:jc w:val="both"/>
        <w:rPr>
          <w:rFonts w:ascii="Century Gothic" w:cs="Century Gothic" w:eastAsia="Century Gothic" w:hAnsi="Century Gothic"/>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B">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Références : </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Monographie :</w:t>
      </w:r>
      <w:r w:rsidDel="00000000" w:rsidR="00000000" w:rsidRPr="00000000">
        <w:rPr>
          <w:rFonts w:ascii="Century Gothic" w:cs="Century Gothic" w:eastAsia="Century Gothic" w:hAnsi="Century Gothic"/>
          <w:sz w:val="22"/>
          <w:szCs w:val="22"/>
          <w:rtl w:val="0"/>
        </w:rPr>
        <w:t xml:space="preserve"> Olestyr (poudre de résine de cholestyramine), numéro de contrôle de présentation : 202102, Pharmascience Inc., Québec, Canada, Février 2017.</w:t>
      </w:r>
      <w:r w:rsidDel="00000000" w:rsidR="00000000" w:rsidRPr="00000000">
        <w:rPr>
          <w:rtl w:val="0"/>
        </w:rPr>
      </w:r>
    </w:p>
    <w:p w:rsidR="00000000" w:rsidDel="00000000" w:rsidP="00000000" w:rsidRDefault="00000000" w:rsidRPr="00000000" w14:paraId="0000003D">
      <w:pPr>
        <w:widowControl w:val="0"/>
        <w:numPr>
          <w:ilvl w:val="0"/>
          <w:numId w:val="6"/>
        </w:numPr>
        <w:tabs>
          <w:tab w:val="left" w:pos="220"/>
          <w:tab w:val="left" w:pos="720"/>
        </w:tabs>
        <w:ind w:left="714" w:hanging="357"/>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1d1d1d"/>
          <w:sz w:val="22"/>
          <w:szCs w:val="22"/>
          <w:rtl w:val="0"/>
        </w:rPr>
        <w:t xml:space="preserve">Monographie : Colestid (granules de colestipol), numéro de contrôle de présentation : 166083, Pfizer Canada Inc., Québec, Canada, Octobre 2013.</w:t>
      </w:r>
      <w:r w:rsidDel="00000000" w:rsidR="00000000" w:rsidRPr="00000000">
        <w:rPr>
          <w:rtl w:val="0"/>
        </w:rPr>
      </w:r>
    </w:p>
    <w:p w:rsidR="00000000" w:rsidDel="00000000" w:rsidP="00000000" w:rsidRDefault="00000000" w:rsidRPr="00000000" w14:paraId="0000003E">
      <w:pPr>
        <w:widowControl w:val="0"/>
        <w:numPr>
          <w:ilvl w:val="0"/>
          <w:numId w:val="6"/>
        </w:numPr>
        <w:tabs>
          <w:tab w:val="left" w:pos="220"/>
          <w:tab w:val="left" w:pos="720"/>
        </w:tabs>
        <w:ind w:left="714" w:hanging="357"/>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Guide thérapeutique VIH. [En ligne]. Disponible : </w:t>
      </w:r>
      <w:hyperlink r:id="rId6">
        <w:r w:rsidDel="00000000" w:rsidR="00000000" w:rsidRPr="00000000">
          <w:rPr>
            <w:rFonts w:ascii="Century Gothic" w:cs="Century Gothic" w:eastAsia="Century Gothic" w:hAnsi="Century Gothic"/>
            <w:color w:val="1155cc"/>
            <w:sz w:val="22"/>
            <w:szCs w:val="22"/>
            <w:u w:val="single"/>
            <w:rtl w:val="0"/>
          </w:rPr>
          <w:t xml:space="preserve">http://www.guidetherapeutiquevih.com</w:t>
        </w:r>
      </w:hyperlink>
      <w:r w:rsidDel="00000000" w:rsidR="00000000" w:rsidRPr="00000000">
        <w:rPr>
          <w:rFonts w:ascii="Century Gothic" w:cs="Century Gothic" w:eastAsia="Century Gothic" w:hAnsi="Century Gothic"/>
          <w:color w:val="0000ff"/>
          <w:sz w:val="22"/>
          <w:szCs w:val="22"/>
          <w:rtl w:val="0"/>
        </w:rPr>
        <w:t xml:space="preserve"> </w:t>
      </w:r>
      <w:r w:rsidDel="00000000" w:rsidR="00000000" w:rsidRPr="00000000">
        <w:rPr>
          <w:rtl w:val="0"/>
        </w:rPr>
      </w:r>
    </w:p>
    <w:sectPr>
      <w:footerReference r:id="rId7" w:type="default"/>
      <w:pgSz w:h="15840" w:w="1224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contextualSpacing w:val="0"/>
      <w:rPr/>
    </w:pPr>
    <w:hyperlink r:id="rId1">
      <w:r w:rsidDel="00000000" w:rsidR="00000000" w:rsidRPr="00000000">
        <w:rPr>
          <w:color w:val="0563c1"/>
          <w:u w:val="single"/>
          <w:rtl w:val="0"/>
        </w:rPr>
        <w:t xml:space="preserve">www.guidetherapeutiqueVIH.com</w:t>
      </w:r>
    </w:hyperlink>
    <w:r w:rsidDel="00000000" w:rsidR="00000000" w:rsidRPr="00000000">
      <w:rPr>
        <w:rtl w:val="0"/>
      </w:rPr>
      <w:t xml:space="preserve">                                                                         Septembre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uidetherapeutiquevih.co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guidetherapeutiquevi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