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6" w:rsidRDefault="00D65CE5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Opinion pharmaceutique </w:t>
      </w:r>
    </w:p>
    <w:p w:rsidR="004266B6" w:rsidRDefault="004266B6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Interaction entre les statines et les antirétroviraux combinés au </w:t>
      </w:r>
      <w:proofErr w:type="spellStart"/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r</w:t>
      </w:r>
      <w:r w:rsidR="005C1D2D">
        <w:rPr>
          <w:rFonts w:ascii="Century Gothic" w:eastAsia="Century Gothic" w:hAnsi="Century Gothic" w:cs="Century Gothic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>tonavir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,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ou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seul</w:t>
      </w:r>
    </w:p>
    <w:p w:rsidR="004266B6" w:rsidRDefault="004266B6">
      <w:pPr>
        <w:jc w:val="center"/>
        <w:rPr>
          <w:rFonts w:ascii="Century Gothic" w:eastAsia="Century Gothic" w:hAnsi="Century Gothic" w:cs="Century Gothic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DDN : _____/_____/_____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 Téléphone : ______________________________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Interaction entre </w:t>
      </w:r>
    </w:p>
    <w:p w:rsidR="004266B6" w:rsidRDefault="00D65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Atorvastatine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Lipitor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Mevacor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Pravachol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(Crestor)</w:t>
      </w:r>
    </w:p>
    <w:p w:rsidR="004266B6" w:rsidRDefault="00D65C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Zocor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Pr="00243CCE" w:rsidRDefault="00D65CE5" w:rsidP="00243CCE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Et</w:t>
      </w:r>
      <w:bookmarkStart w:id="0" w:name="_GoBack"/>
      <w:bookmarkEnd w:id="0"/>
    </w:p>
    <w:p w:rsidR="004266B6" w:rsidRDefault="00D6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Prezcobix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Symtuza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lvitégravir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Une augmentation des effets indésirables des statines peut survenir suivant l’administration concomitante avec les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antirétroviaux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ci-haut mentionnés. Voici pourquoi 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1, 2, 3, 7, 10, 15, 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>20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, 2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>1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, </w:t>
      </w:r>
      <w:proofErr w:type="gramStart"/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2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>2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</w:t>
      </w:r>
      <w:proofErr w:type="gramEnd"/>
    </w:p>
    <w:p w:rsidR="004266B6" w:rsidRDefault="00D65C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le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les inhibiteurs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de la protéase (IP) sont de puissants inhibiteurs du cytochrome (CYP) 3A4 et également inhibiteurs des transporteurs OATP1B1/1B3 et BCRP. </w:t>
      </w:r>
    </w:p>
    <w:p w:rsidR="004266B6" w:rsidRDefault="00D65CE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Les statines sont des substrats de ce cytochrome et de ces transporteurs.</w:t>
      </w:r>
    </w:p>
    <w:p w:rsidR="004266B6" w:rsidRDefault="00D65CE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Ces inhibitions peuvent augmenter la concentration plasmatique et diminuer  les concentrations intra-hépatiques des statines. Par conséquent, ces interactions augmentent le risque d’effets indésirables et diminuent l’efficacité des statines.</w:t>
      </w:r>
    </w:p>
    <w:p w:rsidR="004266B6" w:rsidRDefault="004266B6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4266B6" w:rsidRDefault="00D65CE5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Pour de plus ample information voici des études évaluant leur potentiel d’interaction :</w:t>
      </w:r>
    </w:p>
    <w:p w:rsidR="004266B6" w:rsidRDefault="00D65CE5">
      <w:pPr>
        <w:widowControl w:val="0"/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Atorvastatine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Lipitor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4, 5, 6, 8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4266B6" w:rsidRDefault="00D65C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 + atorvastatine 20 mg : ↑ 5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8 fois la surface sous la courbe (SSC) de l’atorvastatine. </w:t>
      </w:r>
    </w:p>
    <w:p w:rsidR="004266B6" w:rsidRDefault="00D65C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 + atorvastatine 10 mg : ↑ 3</w:t>
      </w:r>
      <w:r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4 fois la SSC de l</w:t>
      </w:r>
      <w:r>
        <w:rPr>
          <w:rFonts w:ascii="Century Gothic" w:eastAsia="Century Gothic" w:hAnsi="Century Gothic" w:cs="Century Gothic"/>
          <w:sz w:val="22"/>
          <w:szCs w:val="22"/>
        </w:rPr>
        <w:t>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atorvastatine.  L’auteur conclu</w:t>
      </w:r>
      <w:r>
        <w:rPr>
          <w:rFonts w:ascii="Century Gothic" w:eastAsia="Century Gothic" w:hAnsi="Century Gothic" w:cs="Century Gothic"/>
          <w:sz w:val="22"/>
          <w:szCs w:val="22"/>
        </w:rPr>
        <w:t>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que l’exposition à l’atorvastatine 10 mg combiné au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était comparable à la dose d’atorvastatine 40 mg. </w:t>
      </w:r>
    </w:p>
    <w:p w:rsidR="004266B6" w:rsidRDefault="00D65C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De surcroît, un cas de rhabdomyolyse a été rapporté chez un patient sous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clarithromycine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atorvastatine.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 xml:space="preserve"> </w:t>
      </w:r>
    </w:p>
    <w:p w:rsidR="004266B6" w:rsidRDefault="004266B6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4266B6" w:rsidRDefault="00D65CE5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Lovastatine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Mevacor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>
        <w:rPr>
          <w:rFonts w:ascii="Century Gothic" w:eastAsia="Century Gothic" w:hAnsi="Century Gothic" w:cs="Century Gothic"/>
          <w:sz w:val="22"/>
          <w:szCs w:val="22"/>
        </w:rPr>
        <w:t> </w:t>
      </w:r>
      <w:r>
        <w:rPr>
          <w:rFonts w:ascii="Century Gothic" w:eastAsia="Century Gothic" w:hAnsi="Century Gothic" w:cs="Century Gothic"/>
          <w:b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Zocor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2, 15, 16</w:t>
      </w:r>
      <w:proofErr w:type="gramStart"/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>,17,18</w:t>
      </w:r>
      <w:proofErr w:type="gramEnd"/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, 20,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2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: </w:t>
      </w:r>
    </w:p>
    <w:p w:rsidR="004266B6" w:rsidRDefault="00D65C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1D1D1D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Saquinavir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Invirase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1D1D1D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40 mg : ↑ de 30 fois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color w:val="1D1D1D"/>
          <w:sz w:val="22"/>
          <w:szCs w:val="22"/>
        </w:rPr>
        <w:t xml:space="preserve"> </w:t>
      </w:r>
    </w:p>
    <w:p w:rsidR="004266B6" w:rsidRDefault="00D65CE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1D1D1D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En raison du premier  passage hépatique inhibé de façon importante par les antirétroviraux  mentionnés ci-haut, la biodisponibilité accrue de ces statines  présentent un risque de réactions graves dont la myopathie, rhabdomyolyse et la toxicité hépatique. Par conséquent,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sont contre-indiquées.</w:t>
      </w:r>
    </w:p>
    <w:p w:rsidR="004266B6" w:rsidRDefault="004266B6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266B6" w:rsidRDefault="00D65CE5">
      <w:pPr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Pravachol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) 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2, 7, 9, 19, 2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>1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: </w:t>
      </w:r>
    </w:p>
    <w:p w:rsidR="004266B6" w:rsidRDefault="00D65C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 : ↑ de </w:t>
      </w:r>
      <w:r>
        <w:rPr>
          <w:rFonts w:ascii="Century Gothic" w:eastAsia="Century Gothic" w:hAnsi="Century Gothic" w:cs="Century Gothic"/>
          <w:sz w:val="22"/>
          <w:szCs w:val="22"/>
        </w:rPr>
        <w:t>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1 %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cependant on constate une grande variabilité interindividuelle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4 individus sur 14 ont eu une augmentation de plus de 200% de la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D65C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Mention d’un rapport de cas de rhabdomyolyse chez un patient sous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lvitegravir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fénofibrate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D65CE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Considérant les rapports ci-dessus, il serait préférable de débuter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à faible dose puis de l’augmenter graduellement tout en exerçant un suivi étroit de l’efficacité et de l’innocuité de la statine.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(Crestor)</w:t>
      </w:r>
      <w:r w:rsidR="00BE0D32">
        <w:rPr>
          <w:rFonts w:ascii="Century Gothic" w:eastAsia="Century Gothic" w:hAnsi="Century Gothic" w:cs="Century Gothic"/>
          <w:b/>
          <w:sz w:val="22"/>
          <w:szCs w:val="22"/>
        </w:rPr>
        <w:t xml:space="preserve"> et IP</w:t>
      </w:r>
      <w:r w:rsidR="00BE0D32"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11, 12, 13, 14,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2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>1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4266B6" w:rsidRDefault="00D65C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Atazanavir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Reyataz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 mg : ↑ de 3,1 fois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D65C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Lopinavir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 mg : ↑ de 2,1 fois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D65C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Darunavir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ritonavir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Prezista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Norvir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+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 mg : ↑ de 1,5 fois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Pr="00BE0D32" w:rsidRDefault="00D65CE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Puisque l’inhibition des transporteurs empêche l’entrée de la statine dans la cellule hépatique (site actif), la concentration plasmatique augmente et le risque d’effets indésirables s’accroît. D’ailleurs, un cas de rhabdomyolyse a été rapporté chez un patient insuffisant rénal sous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Kaletra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:rsidR="00BE0D32" w:rsidRDefault="00BE0D32" w:rsidP="00BE0D32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(Crestor)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2,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19</w:t>
      </w:r>
      <w:r w:rsidR="00BC5A03">
        <w:rPr>
          <w:rFonts w:ascii="Century Gothic" w:eastAsia="Century Gothic" w:hAnsi="Century Gothic" w:cs="Century Gothic"/>
          <w:sz w:val="22"/>
          <w:szCs w:val="22"/>
          <w:vertAlign w:val="superscript"/>
        </w:rPr>
        <w:t>, 20</w:t>
      </w:r>
      <w:r>
        <w:rPr>
          <w:rFonts w:ascii="Century Gothic" w:eastAsia="Century Gothic" w:hAnsi="Century Gothic" w:cs="Century Gothic"/>
          <w:sz w:val="22"/>
          <w:szCs w:val="22"/>
        </w:rPr>
        <w:t> :</w:t>
      </w:r>
    </w:p>
    <w:p w:rsidR="00BE0D32" w:rsidRDefault="00BE0D32" w:rsidP="00BE0D3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Elvitégravir</w:t>
      </w:r>
      <w:proofErr w:type="spellEnd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Emtricitab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Stribild</w:t>
      </w:r>
      <w:proofErr w:type="spellEnd"/>
      <w:proofErr w:type="gramStart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+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10 mg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: ↑ de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38% SSC de la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Selon la monographie cette augmentation semble transitoire et aucun ajustement de la dose de la </w:t>
      </w:r>
      <w:proofErr w:type="spellStart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rosuvastatine</w:t>
      </w:r>
      <w:proofErr w:type="spellEnd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n'est recommandé. Probablement produite par l'inhibition par l'</w:t>
      </w:r>
      <w:proofErr w:type="spellStart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elvitégravir</w:t>
      </w:r>
      <w:proofErr w:type="spellEnd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>cobicistat</w:t>
      </w:r>
      <w:proofErr w:type="spellEnd"/>
      <w:r w:rsidRPr="00BE0D32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l'efflux intestinal par la BCRP ou de l'absorption hépatique par les OATP. Aucun événement indésirable grave, aucun effet indésirable de grade 2, 3 ou 4 ni aucune anomalie de laboratoire de degré 3 ou 4 ne s'est produit.</w:t>
      </w:r>
    </w:p>
    <w:p w:rsidR="004266B6" w:rsidRDefault="004266B6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266B6" w:rsidRDefault="00D65CE5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Options thérapeutiques possibles</w:t>
      </w:r>
      <w:r>
        <w:rPr>
          <w:rFonts w:ascii="Century Gothic" w:eastAsia="Century Gothic" w:hAnsi="Century Gothic" w:cs="Century Gothic"/>
          <w:sz w:val="22"/>
          <w:szCs w:val="22"/>
          <w:u w:val="single"/>
          <w:vertAlign w:val="superscript"/>
        </w:rPr>
        <w:t>1-21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 : </w:t>
      </w:r>
    </w:p>
    <w:p w:rsidR="004266B6" w:rsidRDefault="00D65CE5">
      <w:pPr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*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Lovastatine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sont contre-indiqués*</w:t>
      </w:r>
    </w:p>
    <w:p w:rsidR="004266B6" w:rsidRDefault="00D65CE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Atorvastatine </w:t>
      </w:r>
    </w:p>
    <w:p w:rsidR="004266B6" w:rsidRDefault="00D65C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Débuter par </w:t>
      </w:r>
      <w:r>
        <w:rPr>
          <w:rFonts w:ascii="Century Gothic" w:eastAsia="Century Gothic" w:hAnsi="Century Gothic" w:cs="Century Gothic"/>
          <w:sz w:val="22"/>
          <w:szCs w:val="22"/>
        </w:rPr>
        <w:t>une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dose </w:t>
      </w:r>
      <w:r>
        <w:rPr>
          <w:rFonts w:ascii="Century Gothic" w:eastAsia="Century Gothic" w:hAnsi="Century Gothic" w:cs="Century Gothic"/>
          <w:sz w:val="22"/>
          <w:szCs w:val="22"/>
        </w:rPr>
        <w:t>de 10 mg QD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puis </w:t>
      </w:r>
      <w:r>
        <w:rPr>
          <w:rFonts w:ascii="Century Gothic" w:eastAsia="Century Gothic" w:hAnsi="Century Gothic" w:cs="Century Gothic"/>
          <w:sz w:val="22"/>
          <w:szCs w:val="22"/>
        </w:rPr>
        <w:t>augment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sz w:val="22"/>
          <w:szCs w:val="22"/>
        </w:rPr>
        <w:t>prudem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ment en fonction de la réponse et de la tolérance.</w:t>
      </w:r>
    </w:p>
    <w:p w:rsidR="004266B6" w:rsidRDefault="00D65C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Ne pas dépasser 20 mg par jour selon les lignes directrices américaines. </w:t>
      </w:r>
    </w:p>
    <w:p w:rsidR="004266B6" w:rsidRDefault="00D65CE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Ne pas dépasser 40 mg par jour selon les lignes directrices européennes.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Rosuvastatine</w:t>
      </w:r>
      <w:proofErr w:type="spellEnd"/>
      <w:r w:rsidR="00BC5A03">
        <w:rPr>
          <w:rFonts w:ascii="Century Gothic" w:eastAsia="Century Gothic" w:hAnsi="Century Gothic" w:cs="Century Gothic"/>
          <w:b/>
          <w:sz w:val="22"/>
          <w:szCs w:val="22"/>
        </w:rPr>
        <w:t xml:space="preserve"> et IP</w:t>
      </w:r>
    </w:p>
    <w:p w:rsidR="004266B6" w:rsidRDefault="00D65C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Débuter par la dose la plus faible possible puis titrer graduellement en fonction de la réponse et de la tolérance. </w:t>
      </w:r>
    </w:p>
    <w:p w:rsidR="004266B6" w:rsidRDefault="00D65C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Ne pas dépasser 10 mg par jour selon les lignes directrices américaines. </w:t>
      </w:r>
    </w:p>
    <w:p w:rsidR="004266B6" w:rsidRPr="00BC5A03" w:rsidRDefault="00D65CE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Ne pas dépasser 20 mg par jour selon les lignes directrices européennes.</w:t>
      </w:r>
    </w:p>
    <w:p w:rsidR="00BC5A03" w:rsidRPr="00BC5A03" w:rsidRDefault="00BC5A03" w:rsidP="00BC5A03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spellStart"/>
      <w:r w:rsidRPr="00BC5A03">
        <w:rPr>
          <w:rFonts w:ascii="Century Gothic" w:eastAsia="Century Gothic" w:hAnsi="Century Gothic" w:cs="Century Gothic"/>
          <w:b/>
          <w:sz w:val="22"/>
          <w:szCs w:val="22"/>
        </w:rPr>
        <w:t>Rosuvastatine</w:t>
      </w:r>
      <w:proofErr w:type="spellEnd"/>
      <w:r w:rsidRPr="00BC5A03">
        <w:rPr>
          <w:rFonts w:ascii="Century Gothic" w:eastAsia="Century Gothic" w:hAnsi="Century Gothic" w:cs="Century Gothic"/>
          <w:b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cobicistat</w:t>
      </w:r>
      <w:proofErr w:type="spellEnd"/>
    </w:p>
    <w:p w:rsidR="00BC5A03" w:rsidRPr="00BC5A03" w:rsidRDefault="00BC5A03" w:rsidP="00BC5A03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Aucun ajustement de la dose n’est recommandé.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Solution de rechange aux statines</w:t>
      </w:r>
    </w:p>
    <w:p w:rsidR="004266B6" w:rsidRDefault="00D65C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Pravachol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D65C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Ez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timibe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Ezetrol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Dans le cas où l’association d’une statine et d’un antirétroviral ci-haut mentionné est efficace et bien tolérée, un suivi étroit de l’efficacité et de l’innocuité de la statine est suffisant.</w:t>
      </w:r>
    </w:p>
    <w:p w:rsidR="004266B6" w:rsidRDefault="004266B6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Suivi 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Surveiller l’efficacité et les effets indésirables (effets GI, fatigue et faiblesse musculaire, myalgies, crampes musculaires, myopathies, rhabdomyolyse et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hépatotoxicité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 des statines.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:rsidR="004266B6" w:rsidRDefault="00D65CE5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br w:type="page"/>
      </w: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lastRenderedPageBreak/>
        <w:t>Suggestion de la pharmacie ou nouvelle prescription</w:t>
      </w: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4266B6">
        <w:tc>
          <w:tcPr>
            <w:tcW w:w="9396" w:type="dxa"/>
          </w:tcPr>
          <w:p w:rsidR="004266B6" w:rsidRDefault="00D65CE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 : _____/_____/_____</w:t>
            </w:r>
          </w:p>
          <w:p w:rsidR="004266B6" w:rsidRDefault="00D65CE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Patient(e) : ________________________          DDN : _____/_____/_____</w:t>
            </w:r>
          </w:p>
          <w:p w:rsidR="004266B6" w:rsidRDefault="00D65CE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 Téléphone : _____________________________</w:t>
            </w:r>
          </w:p>
        </w:tc>
      </w:tr>
      <w:tr w:rsidR="004266B6">
        <w:tc>
          <w:tcPr>
            <w:tcW w:w="9396" w:type="dxa"/>
          </w:tcPr>
          <w:p w:rsidR="004266B6" w:rsidRDefault="00D65CE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 : </w:t>
            </w: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D65CE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Ren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 : _____</w:t>
            </w: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4266B6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4266B6" w:rsidRDefault="00D65CE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Médecin : __________     Licence : __________    Signature : __________</w:t>
            </w:r>
          </w:p>
          <w:p w:rsidR="004266B6" w:rsidRDefault="00D65CE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Adresse : ____________________________________________</w:t>
            </w:r>
          </w:p>
          <w:p w:rsidR="004266B6" w:rsidRDefault="00D65CE5">
            <w:pPr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#Téléphone : ____________________     #Télécopieur : ________________</w:t>
            </w:r>
          </w:p>
        </w:tc>
      </w:tr>
      <w:tr w:rsidR="004266B6">
        <w:tc>
          <w:tcPr>
            <w:tcW w:w="9396" w:type="dxa"/>
          </w:tcPr>
          <w:p w:rsidR="004266B6" w:rsidRDefault="00D65CE5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Certification du prescripteur </w:t>
            </w:r>
          </w:p>
          <w:p w:rsidR="004266B6" w:rsidRDefault="00D65CE5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Je certifie que : </w:t>
            </w:r>
          </w:p>
          <w:p w:rsidR="004266B6" w:rsidRDefault="00D65C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4266B6" w:rsidRDefault="00D65C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est le seul destinataire, </w:t>
            </w:r>
          </w:p>
          <w:p w:rsidR="004266B6" w:rsidRDefault="00D65CE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Veuillez svp nous faire parvenir une copie de cette page avec votre conduite à tenir. 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Si vous avez besoin d’information complémentaire, n’hésitez pas à communiquer avec moi. 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Cordialement, 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Pharmacie : ____________________</w:t>
      </w: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#Télécopieur : ____________________</w:t>
      </w:r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266B6" w:rsidRDefault="00D65CE5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:rsidR="004266B6" w:rsidRDefault="00D65CE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lastRenderedPageBreak/>
        <w:t>Références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 : 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Monographie : Atorvastatine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Lipitor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Pfizer, Québec, Canada, </w:t>
      </w:r>
      <w:r>
        <w:rPr>
          <w:rFonts w:ascii="Century Gothic" w:eastAsia="Century Gothic" w:hAnsi="Century Gothic" w:cs="Century Gothic"/>
          <w:sz w:val="22"/>
          <w:szCs w:val="22"/>
        </w:rPr>
        <w:t>20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mars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201</w:t>
      </w:r>
      <w:r>
        <w:rPr>
          <w:rFonts w:ascii="Century Gothic" w:eastAsia="Century Gothic" w:hAnsi="Century Gothic" w:cs="Century Gothic"/>
          <w:sz w:val="22"/>
          <w:szCs w:val="22"/>
        </w:rPr>
        <w:t>7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disoproxil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fumarate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Stribild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Sciences, Ontario, Canada,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12 avril 2018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Chauvin B,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Drouot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S,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Barrail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-Tran A et al. Drug-drug interactions between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HMGCoA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reductase inhibitors (Statins) and antiviral protease inhibitors.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Clin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Pharmacokinet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. 2013; 52: 815–831. 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Hoetelmanss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R,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Lasure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A, Koester A. The effect of TMC 114, a potent next-generation HIV protease inhibitor, with low dose ritonavir on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atorvastatine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pharmacokinetics.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ICAAC. 2004. Abstract H-865 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Mah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Ming JB and Gill MJ. Drug-Induced Rhabdomyolysis after Concomitant Use of Clarithromycin, Atorvastatin, and </w:t>
      </w:r>
      <w:proofErr w:type="spellStart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>Lopinavir</w:t>
      </w:r>
      <w:proofErr w:type="spellEnd"/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/Ritonavir in a Patient with HIV. AIDS Patient Care and STDs 2003; 17: 207-210. 8. AIDS info, Guidelines for the use of antiretroviral agents in HIV-1-infected adults and adolescents (2014).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 xml:space="preserve">http://aidsinfo.nih.gov/guideline. 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European AIDS Clinical Society (EACS) Guidelines 7.1, Nov 2014.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[En ligne]. Disponible : </w:t>
      </w:r>
      <w:hyperlink r:id="rId8">
        <w:r>
          <w:rPr>
            <w:rFonts w:ascii="Century Gothic" w:eastAsia="Century Gothic" w:hAnsi="Century Gothic" w:cs="Century Gothic"/>
            <w:color w:val="1155CC"/>
            <w:sz w:val="22"/>
            <w:szCs w:val="22"/>
            <w:u w:val="single"/>
          </w:rPr>
          <w:t>http://www.eacsociety.org</w:t>
        </w:r>
      </w:hyperlink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Pravachol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Bristol-Myers Squibb Canada, Québec, Canada, </w:t>
      </w:r>
      <w:r>
        <w:rPr>
          <w:rFonts w:ascii="Century Gothic" w:eastAsia="Century Gothic" w:hAnsi="Century Gothic" w:cs="Century Gothic"/>
          <w:sz w:val="22"/>
          <w:szCs w:val="22"/>
        </w:rPr>
        <w:t>18 octobre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2017.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Carr RA,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Andre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AK,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Bertz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RJ et al.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Concomitant administration of ABT-378/ritonavir (ABT-378/r) results in a clinically important pharmacokinetic (PK) interaction with atorvastatin (ATO) but not pravastatin (PRA). 40th ICAAC.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Toronto, Canada,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September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17-20, 2000 Abstract 1644.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Sekar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VJ,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Spinosa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-Guzman S, Marien K, et al.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Interaction between the new HIV protease inhibitor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darunavir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(TMC114) and the lipid-lowering agent pravastatin. 8th International Workshop on Clinical Pharmacology of HIV Therapy, 16-18 April 2007, Budapest, Hungary. </w:t>
      </w:r>
      <w:r>
        <w:rPr>
          <w:rFonts w:ascii="Century Gothic" w:eastAsia="Century Gothic" w:hAnsi="Century Gothic" w:cs="Century Gothic"/>
          <w:sz w:val="22"/>
          <w:szCs w:val="22"/>
        </w:rPr>
        <w:t>Abstract 54.</w:t>
      </w:r>
    </w:p>
    <w:p w:rsidR="004266B6" w:rsidRPr="005C1D2D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</w:pP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Rosuvastatine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(Crestor), AstraZeneca, Ontario, Canada, 21 mars 2017.</w:t>
      </w: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 </w:t>
      </w:r>
    </w:p>
    <w:p w:rsidR="004266B6" w:rsidRPr="005C1D2D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Busti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AJ, Bain AM, Hall RG, et al. Effects of atazanavir/ritonavir or fosamprenavir/ritonavir on the pharmacokinetics of rosuvastatin. J Cardiovasc Pharmacol; 2008, 51 (6): 605-610.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Kiser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JJ, Gerber JG, Predhomme JA et al.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Drug/drug interaction between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lopinavir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/ritonavir and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in healthy volunteers.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JAIDS Journal of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Acquired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Immune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Deficiency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Syndromes 2008; 47 (5): 570-578. 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Samineni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D, Desai P,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Sallans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L and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Fichtenbaum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C. Steady-State Pharmacokinetic Interactions of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Darunavir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/Ritonavir </w:t>
      </w:r>
      <w:proofErr w:type="gram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With</w:t>
      </w:r>
      <w:proofErr w:type="gram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Lipid-Lowering Agent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The Journal of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Clinical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Pharmacology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 2012; 52 (6): 922-931.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De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Kanter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C,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Keuter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, M. van der Lee M.J., Koopmans, P.P. and Burger D.M. Rhabdomyolysis in an HIV-infected patient with impaired renal function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concomitanly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treated with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rosuvastatin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and </w:t>
      </w:r>
      <w:proofErr w:type="spell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lopinavir</w:t>
      </w:r>
      <w:proofErr w:type="spell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/ritonavir.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Antiviral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Therapy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 2011; 16 :435-437.</w:t>
      </w:r>
    </w:p>
    <w:p w:rsidR="004266B6" w:rsidRDefault="00D65CE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Monographie :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Simvastatine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Zocor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Merck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Québec, Canada, </w:t>
      </w:r>
      <w:r>
        <w:rPr>
          <w:rFonts w:ascii="Century Gothic" w:eastAsia="Century Gothic" w:hAnsi="Century Gothic" w:cs="Century Gothic"/>
          <w:sz w:val="22"/>
          <w:szCs w:val="22"/>
        </w:rPr>
        <w:t>10 août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201</w:t>
      </w:r>
      <w:r>
        <w:rPr>
          <w:rFonts w:ascii="Century Gothic" w:eastAsia="Century Gothic" w:hAnsi="Century Gothic" w:cs="Century Gothic"/>
          <w:sz w:val="22"/>
          <w:szCs w:val="22"/>
        </w:rPr>
        <w:t>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D65CE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Fichtenbaum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CJ, Gerber JG,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Rosenkranz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SL, et al. </w:t>
      </w: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Pharmacokinetic interactions between protease inhibitors and statins in HIV seronegative volunteers: ACTG Study A5047.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AIDS 2002 Mar 8; 16 (4): 569-577. </w:t>
      </w:r>
    </w:p>
    <w:p w:rsidR="004266B6" w:rsidRDefault="00D65CE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 w:rsidRPr="005C1D2D">
        <w:rPr>
          <w:rFonts w:ascii="Century Gothic" w:eastAsia="Century Gothic" w:hAnsi="Century Gothic" w:cs="Century Gothic"/>
          <w:color w:val="000000"/>
          <w:sz w:val="22"/>
          <w:szCs w:val="22"/>
          <w:lang w:val="en-CA"/>
        </w:rPr>
        <w:t xml:space="preserve">Cheng CH, Miller C, Lowe C, et al. Rhabdomyolysis due to probable interaction between simvastatin and ritonavir.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Am J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Health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Syst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2002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Apr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15; 59 (8): 728-730.</w:t>
      </w:r>
    </w:p>
    <w:p w:rsidR="004266B6" w:rsidRDefault="00D65CE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lastRenderedPageBreak/>
        <w:t>Bastida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Also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MA,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Pericas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JM, et al. </w:t>
      </w:r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Rhabdomyolysis and severe hepatotoxicity due to a drug-drug interaction between ritonavir and simvastatin. Could we use the most cost-effective statin in all human immunodeficiency virus-infected patients</w:t>
      </w:r>
      <w:proofErr w:type="gramStart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>?.</w:t>
      </w:r>
      <w:proofErr w:type="gramEnd"/>
      <w:r w:rsidRPr="005C1D2D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Enferm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Infecc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Microbiol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Clin. 2014 Jun 6; 32 (9): 579-582.</w:t>
      </w:r>
    </w:p>
    <w:p w:rsidR="00BE0D32" w:rsidRDefault="00BE0D32" w:rsidP="00BE0D3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>Custodio</w:t>
      </w:r>
      <w:proofErr w:type="spellEnd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J, Wang H, </w:t>
      </w:r>
      <w:proofErr w:type="spellStart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>Hao</w:t>
      </w:r>
      <w:proofErr w:type="spellEnd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J, </w:t>
      </w:r>
      <w:proofErr w:type="spellStart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>Lepist</w:t>
      </w:r>
      <w:proofErr w:type="spellEnd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EI, Ray AS et al. Pharmacokinetics of </w:t>
      </w:r>
      <w:proofErr w:type="spellStart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>cobicistat</w:t>
      </w:r>
      <w:proofErr w:type="spellEnd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boosted-</w:t>
      </w:r>
      <w:proofErr w:type="spellStart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>elvitegravir</w:t>
      </w:r>
      <w:proofErr w:type="spellEnd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administered in combination with </w:t>
      </w:r>
      <w:proofErr w:type="spellStart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>rosuvastatin</w:t>
      </w:r>
      <w:proofErr w:type="spellEnd"/>
      <w:r w:rsidRPr="00BE0D32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. </w:t>
      </w:r>
      <w:r w:rsidRPr="00BE0D32">
        <w:rPr>
          <w:rFonts w:ascii="Century Gothic" w:eastAsia="Century Gothic" w:hAnsi="Century Gothic" w:cs="Century Gothic"/>
          <w:sz w:val="22"/>
          <w:szCs w:val="22"/>
        </w:rPr>
        <w:t xml:space="preserve">Clin </w:t>
      </w:r>
      <w:proofErr w:type="spellStart"/>
      <w:r w:rsidRPr="00BE0D32">
        <w:rPr>
          <w:rFonts w:ascii="Century Gothic" w:eastAsia="Century Gothic" w:hAnsi="Century Gothic" w:cs="Century Gothic"/>
          <w:sz w:val="22"/>
          <w:szCs w:val="22"/>
        </w:rPr>
        <w:t>Pharmacol</w:t>
      </w:r>
      <w:proofErr w:type="spellEnd"/>
      <w:r w:rsidRPr="00BE0D32">
        <w:rPr>
          <w:rFonts w:ascii="Century Gothic" w:eastAsia="Century Gothic" w:hAnsi="Century Gothic" w:cs="Century Gothic"/>
          <w:sz w:val="22"/>
          <w:szCs w:val="22"/>
        </w:rPr>
        <w:t>, 2014, 54(6): 649-56.</w:t>
      </w:r>
    </w:p>
    <w:p w:rsidR="004266B6" w:rsidRDefault="00D65CE5">
      <w:pPr>
        <w:numPr>
          <w:ilvl w:val="0"/>
          <w:numId w:val="11"/>
        </w:numPr>
        <w:contextualSpacing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Elvitégravir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cobicistat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Genvoya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Sciences, Ontario, Canada, 12 avril 2018.</w:t>
      </w:r>
    </w:p>
    <w:p w:rsidR="004266B6" w:rsidRDefault="00D65CE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ind w:left="714" w:hanging="35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Monographies des inhibiteurs de la prot</w:t>
      </w:r>
      <w:r>
        <w:rPr>
          <w:rFonts w:ascii="Century Gothic" w:eastAsia="Century Gothic" w:hAnsi="Century Gothic" w:cs="Century Gothic"/>
          <w:sz w:val="22"/>
          <w:szCs w:val="22"/>
        </w:rPr>
        <w:t>é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ase consultées </w:t>
      </w:r>
      <w:r>
        <w:rPr>
          <w:rFonts w:ascii="Century Gothic" w:eastAsia="Century Gothic" w:hAnsi="Century Gothic" w:cs="Century Gothic"/>
          <w:sz w:val="22"/>
          <w:szCs w:val="22"/>
        </w:rPr>
        <w:t>novem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bre 201</w:t>
      </w:r>
      <w:r>
        <w:rPr>
          <w:rFonts w:ascii="Century Gothic" w:eastAsia="Century Gothic" w:hAnsi="Century Gothic" w:cs="Century Gothic"/>
          <w:sz w:val="22"/>
          <w:szCs w:val="22"/>
        </w:rPr>
        <w:t>8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4266B6" w:rsidRDefault="00D65C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hyperlink r:id="rId9">
        <w:r>
          <w:rPr>
            <w:rFonts w:ascii="Century Gothic" w:eastAsia="Century Gothic" w:hAnsi="Century Gothic" w:cs="Century Gothic"/>
            <w:color w:val="0563C1"/>
            <w:sz w:val="22"/>
            <w:szCs w:val="22"/>
            <w:u w:val="single"/>
          </w:rPr>
          <w:t>http://www.guidetherapeutiquevih.com</w:t>
        </w:r>
      </w:hyperlink>
    </w:p>
    <w:p w:rsidR="004266B6" w:rsidRDefault="004266B6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4266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5A" w:rsidRDefault="00195E5A">
      <w:r>
        <w:separator/>
      </w:r>
    </w:p>
  </w:endnote>
  <w:endnote w:type="continuationSeparator" w:id="0">
    <w:p w:rsidR="00195E5A" w:rsidRDefault="001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195E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hyperlink r:id="rId1">
      <w:r w:rsidR="00D65CE5">
        <w:rPr>
          <w:color w:val="0563C1"/>
          <w:u w:val="single"/>
        </w:rPr>
        <w:t>www.guidetherapeutiqueVIH.com</w:t>
      </w:r>
    </w:hyperlink>
    <w:r w:rsidR="00D65CE5">
      <w:rPr>
        <w:color w:val="000000"/>
      </w:rPr>
      <w:t xml:space="preserve">  </w:t>
    </w:r>
  </w:p>
  <w:p w:rsidR="004266B6" w:rsidRDefault="00D65C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1" w:name="_gjdgxs" w:colFirst="0" w:colLast="0"/>
    <w:bookmarkEnd w:id="1"/>
    <w:r>
      <w:t>Novem</w:t>
    </w:r>
    <w:r>
      <w:rPr>
        <w:color w:val="000000"/>
      </w:rPr>
      <w:t>bre 201</w:t>
    </w:r>
    <w: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5A" w:rsidRDefault="00195E5A">
      <w:r>
        <w:separator/>
      </w:r>
    </w:p>
  </w:footnote>
  <w:footnote w:type="continuationSeparator" w:id="0">
    <w:p w:rsidR="00195E5A" w:rsidRDefault="0019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6" w:rsidRDefault="00426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E7"/>
    <w:multiLevelType w:val="multilevel"/>
    <w:tmpl w:val="372C00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264E20"/>
    <w:multiLevelType w:val="multilevel"/>
    <w:tmpl w:val="DF2C2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543"/>
    <w:multiLevelType w:val="multilevel"/>
    <w:tmpl w:val="A9D85BD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312C15"/>
    <w:multiLevelType w:val="multilevel"/>
    <w:tmpl w:val="9942264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EA2149"/>
    <w:multiLevelType w:val="multilevel"/>
    <w:tmpl w:val="43186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B8744F0"/>
    <w:multiLevelType w:val="multilevel"/>
    <w:tmpl w:val="ED347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3B20A2"/>
    <w:multiLevelType w:val="multilevel"/>
    <w:tmpl w:val="437A2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947B1A"/>
    <w:multiLevelType w:val="multilevel"/>
    <w:tmpl w:val="A9C2193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9E6E15"/>
    <w:multiLevelType w:val="multilevel"/>
    <w:tmpl w:val="B18CD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697FB0"/>
    <w:multiLevelType w:val="multilevel"/>
    <w:tmpl w:val="B6E0212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9FE5CA8"/>
    <w:multiLevelType w:val="multilevel"/>
    <w:tmpl w:val="AAD08C7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6B6"/>
    <w:rsid w:val="00195E5A"/>
    <w:rsid w:val="00243CCE"/>
    <w:rsid w:val="004266B6"/>
    <w:rsid w:val="005C1D2D"/>
    <w:rsid w:val="00BC5A03"/>
    <w:rsid w:val="00BE0D32"/>
    <w:rsid w:val="00D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FR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FR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C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society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idetherapeutiquevih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</cp:lastModifiedBy>
  <cp:revision>4</cp:revision>
  <dcterms:created xsi:type="dcterms:W3CDTF">2019-04-02T11:48:00Z</dcterms:created>
  <dcterms:modified xsi:type="dcterms:W3CDTF">2019-10-25T08:22:00Z</dcterms:modified>
</cp:coreProperties>
</file>