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57" w:rsidRDefault="007758F4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Opinion pharmaceutique</w:t>
      </w:r>
    </w:p>
    <w:p w:rsidR="00831457" w:rsidRDefault="00831457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831457" w:rsidRDefault="007758F4">
      <w:pPr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Interaction entre la colchicine et les antirétroviraux combinés </w:t>
      </w:r>
    </w:p>
    <w:p w:rsidR="00831457" w:rsidRDefault="007758F4">
      <w:pPr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b/>
          <w:sz w:val="22"/>
          <w:szCs w:val="22"/>
        </w:rPr>
        <w:t>au</w:t>
      </w:r>
      <w:proofErr w:type="gram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ou au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cobicistat</w:t>
      </w:r>
      <w:proofErr w:type="spellEnd"/>
    </w:p>
    <w:p w:rsidR="00831457" w:rsidRDefault="00831457">
      <w:pPr>
        <w:jc w:val="center"/>
        <w:rPr>
          <w:rFonts w:ascii="Century Gothic" w:eastAsia="Century Gothic" w:hAnsi="Century Gothic" w:cs="Century Gothic"/>
        </w:rPr>
      </w:pPr>
    </w:p>
    <w:p w:rsidR="00831457" w:rsidRDefault="007758F4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Patient(e) : 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DDN : _____/_____/_____</w:t>
      </w:r>
    </w:p>
    <w:p w:rsidR="00831457" w:rsidRDefault="0083145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831457" w:rsidRDefault="007758F4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Après avoir analysé le dossier de votre patient(e), j’ai relevé un problème relié à sa pharmacothérapie. </w:t>
      </w:r>
    </w:p>
    <w:p w:rsidR="00831457" w:rsidRDefault="0083145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831457" w:rsidRDefault="007758F4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Interaction entre </w:t>
      </w:r>
    </w:p>
    <w:p w:rsidR="00831457" w:rsidRDefault="007758F4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Colchicine</w:t>
      </w:r>
    </w:p>
    <w:p w:rsidR="00831457" w:rsidRDefault="007758F4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Et </w:t>
      </w:r>
    </w:p>
    <w:p w:rsidR="00831457" w:rsidRDefault="007758F4">
      <w:pPr>
        <w:jc w:val="both"/>
        <w:rPr>
          <w:rFonts w:ascii="Century Gothic" w:eastAsia="Century Gothic" w:hAnsi="Century Gothic" w:cs="Century Gothic"/>
          <w:i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Cobicistat</w:t>
      </w:r>
      <w:proofErr w:type="spellEnd"/>
    </w:p>
    <w:p w:rsidR="00831457" w:rsidRDefault="007758F4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Darunavir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Prezcobix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831457" w:rsidRDefault="007758F4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Darunavir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Emtricitabine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Ténof</w:t>
      </w:r>
      <w:r>
        <w:rPr>
          <w:rFonts w:ascii="Century Gothic" w:eastAsia="Century Gothic" w:hAnsi="Century Gothic" w:cs="Century Gothic"/>
          <w:sz w:val="22"/>
          <w:szCs w:val="22"/>
        </w:rPr>
        <w:t>ovir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alafénamide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Symtuza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831457" w:rsidRDefault="007758F4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Elvitégravir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Emtricitabine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Ténofovir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Stribild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Genvoya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831457" w:rsidRDefault="007758F4">
      <w:pPr>
        <w:jc w:val="both"/>
        <w:rPr>
          <w:rFonts w:ascii="Century Gothic" w:eastAsia="Century Gothic" w:hAnsi="Century Gothic" w:cs="Century Gothic"/>
          <w:i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Ritonavir</w:t>
      </w:r>
      <w:proofErr w:type="spellEnd"/>
    </w:p>
    <w:p w:rsidR="00831457" w:rsidRDefault="007758F4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Atazanavir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Reyataz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Norvir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831457" w:rsidRDefault="007758F4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Darunavir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Prezista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Norvir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831457" w:rsidRDefault="007758F4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Lopinavir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Kaletra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831457" w:rsidRDefault="00831457">
      <w:pPr>
        <w:ind w:left="72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831457" w:rsidRDefault="007758F4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Une augmentation du risque de toxicité de la colchicine peut survenir lors de l’administration concomitante avec un antirétroviral ci-haut. Voici pourquoi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1-7</w:t>
      </w:r>
      <w:r>
        <w:rPr>
          <w:rFonts w:ascii="Century Gothic" w:eastAsia="Century Gothic" w:hAnsi="Century Gothic" w:cs="Century Gothic"/>
          <w:sz w:val="22"/>
          <w:szCs w:val="22"/>
        </w:rPr>
        <w:t> :</w:t>
      </w:r>
    </w:p>
    <w:p w:rsidR="00831457" w:rsidRDefault="007758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Le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le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sont des inhibiteurs du transporteur P-glycoprotéine (P-gp) et du cytochrome (CYP) 3A4.  </w:t>
      </w:r>
    </w:p>
    <w:p w:rsidR="00831457" w:rsidRDefault="007758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La colchicine est un substrat d</w:t>
      </w:r>
      <w:r>
        <w:rPr>
          <w:rFonts w:ascii="Century Gothic" w:eastAsia="Century Gothic" w:hAnsi="Century Gothic" w:cs="Century Gothic"/>
          <w:sz w:val="22"/>
          <w:szCs w:val="22"/>
        </w:rPr>
        <w:t>e la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P-gp et du CYP3A4. </w:t>
      </w:r>
    </w:p>
    <w:p w:rsidR="00831457" w:rsidRDefault="007758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Ces inhibitions peuvent augmenter la concentration plasmatique de la colchicine et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le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risque de toxicité.</w:t>
      </w:r>
    </w:p>
    <w:p w:rsidR="00831457" w:rsidRDefault="00831457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831457" w:rsidRDefault="007758F4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Pou</w:t>
      </w:r>
      <w:r>
        <w:rPr>
          <w:rFonts w:ascii="Century Gothic" w:eastAsia="Century Gothic" w:hAnsi="Century Gothic" w:cs="Century Gothic"/>
          <w:b/>
          <w:sz w:val="22"/>
          <w:szCs w:val="22"/>
        </w:rPr>
        <w:t>r de plus amples informations, voici des études évaluant les interactions ci-haut :</w:t>
      </w:r>
    </w:p>
    <w:p w:rsidR="00831457" w:rsidRDefault="007758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Colchicine +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 :</w:t>
      </w:r>
    </w:p>
    <w:p w:rsidR="00831457" w:rsidRDefault="007758F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L’administration concomitante de la colchicine avec le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a démontré une augmentation d</w:t>
      </w:r>
      <w:r>
        <w:rPr>
          <w:rFonts w:ascii="Century Gothic" w:eastAsia="Century Gothic" w:hAnsi="Century Gothic" w:cs="Century Gothic"/>
          <w:sz w:val="22"/>
          <w:szCs w:val="22"/>
        </w:rPr>
        <w:t>’environ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245% de la surface sous la courbe (SSC) </w:t>
      </w:r>
      <w:r>
        <w:rPr>
          <w:rFonts w:ascii="Century Gothic" w:eastAsia="Century Gothic" w:hAnsi="Century Gothic" w:cs="Century Gothic"/>
          <w:sz w:val="22"/>
          <w:szCs w:val="22"/>
        </w:rPr>
        <w:t>de la colchicine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comparé à l</w:t>
      </w:r>
      <w:r>
        <w:rPr>
          <w:rFonts w:ascii="Century Gothic" w:eastAsia="Century Gothic" w:hAnsi="Century Gothic" w:cs="Century Gothic"/>
          <w:sz w:val="22"/>
          <w:szCs w:val="22"/>
        </w:rPr>
        <w:t>’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emploi de la colchicine seule</w:t>
      </w:r>
      <w:r>
        <w:rPr>
          <w:rFonts w:ascii="Century Gothic" w:eastAsia="Century Gothic" w:hAnsi="Century Gothic" w:cs="Century Gothic"/>
          <w:sz w:val="22"/>
          <w:szCs w:val="22"/>
        </w:rPr>
        <w:t>. De plus, la clairance de la colchicine était diminuée de 70% lorsque cet agent était combiné au ritonavir.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4</w:t>
      </w:r>
    </w:p>
    <w:p w:rsidR="00831457" w:rsidRDefault="007758F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Un avis de la FDA a été émis en 2009 à l’effet que des cas de toxicité à la colchicine, dont certains mortels, avaient été rapportés dans la littérature avec l’utilisation concomitante d’inhibiteurs du CYP3A4 et de la P-gp, particulièrement chez des patien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ts avec atteintes rénales ou hépatiques.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6</w:t>
      </w:r>
    </w:p>
    <w:p w:rsidR="00831457" w:rsidRDefault="00831457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831457" w:rsidRDefault="00831457">
      <w:pPr>
        <w:jc w:val="both"/>
        <w:rPr>
          <w:rFonts w:ascii="Century Gothic" w:eastAsia="Century Gothic" w:hAnsi="Century Gothic" w:cs="Century Gothic"/>
          <w:sz w:val="22"/>
          <w:szCs w:val="22"/>
          <w:vertAlign w:val="superscript"/>
        </w:rPr>
      </w:pPr>
    </w:p>
    <w:p w:rsidR="00831457" w:rsidRDefault="007758F4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br w:type="page"/>
      </w:r>
    </w:p>
    <w:p w:rsidR="00831457" w:rsidRDefault="007758F4">
      <w:pPr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lastRenderedPageBreak/>
        <w:t>Options thérapeutiques possibles</w:t>
      </w:r>
      <w:r>
        <w:rPr>
          <w:rFonts w:ascii="Century Gothic" w:eastAsia="Century Gothic" w:hAnsi="Century Gothic" w:cs="Century Gothic"/>
          <w:b/>
          <w:sz w:val="22"/>
          <w:szCs w:val="22"/>
          <w:vertAlign w:val="superscript"/>
        </w:rPr>
        <w:t>1-7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 : </w:t>
      </w:r>
    </w:p>
    <w:p w:rsidR="00831457" w:rsidRDefault="007758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L’association de la colchicine avec un antirétroviral nommé ci-haut est c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ontre-indiquée chez des patients insuffisants hépatiques ou rénaux.</w:t>
      </w:r>
    </w:p>
    <w:p w:rsidR="00831457" w:rsidRDefault="007758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Ajustement de doses de colchic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ine :</w:t>
      </w:r>
    </w:p>
    <w:p w:rsidR="00831457" w:rsidRDefault="007758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Crises de gouttes </w:t>
      </w:r>
    </w:p>
    <w:p w:rsidR="00831457" w:rsidRDefault="007758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0,6 mg (1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) x 1 dose, puis 0,3 mg (½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 1 heur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plus tard.</w:t>
      </w:r>
    </w:p>
    <w:p w:rsidR="00831457" w:rsidRDefault="007758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Ne pas répéter ce cycle avant 3 jours. </w:t>
      </w:r>
    </w:p>
    <w:p w:rsidR="00831457" w:rsidRDefault="007758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Prophylaxie des crises de gouttes</w:t>
      </w:r>
    </w:p>
    <w:p w:rsidR="00831457" w:rsidRDefault="007758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Si traitement initial était de 0,6 mg BID, ajuster à 0,3 mg DIE.</w:t>
      </w:r>
    </w:p>
    <w:p w:rsidR="00831457" w:rsidRDefault="007758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Si traitement initial était de 0,6 mg DIE ou 0,3 mg BID, ajuster à 0,3 mg q 2 jours. </w:t>
      </w:r>
    </w:p>
    <w:p w:rsidR="00831457" w:rsidRDefault="007758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Les patients actuellement sous traitement avec cette association et la tolérant peuvent conserver leur thérapie. Exercer un suivi étroit des effets indésirables </w:t>
      </w:r>
      <w:r>
        <w:rPr>
          <w:rFonts w:ascii="Century Gothic" w:eastAsia="Century Gothic" w:hAnsi="Century Gothic" w:cs="Century Gothic"/>
          <w:sz w:val="22"/>
          <w:szCs w:val="22"/>
        </w:rPr>
        <w:t>pouvant s</w:t>
      </w:r>
      <w:r>
        <w:rPr>
          <w:rFonts w:ascii="Century Gothic" w:eastAsia="Century Gothic" w:hAnsi="Century Gothic" w:cs="Century Gothic"/>
          <w:sz w:val="22"/>
          <w:szCs w:val="22"/>
        </w:rPr>
        <w:t>urvenir avec l’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utilsation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prolongée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831457" w:rsidRDefault="00831457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831457" w:rsidRDefault="00831457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831457" w:rsidRDefault="007758F4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Suivi :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 xml:space="preserve"> </w:t>
      </w:r>
    </w:p>
    <w:p w:rsidR="00831457" w:rsidRDefault="007758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Surveiller l</w:t>
      </w:r>
      <w:r>
        <w:rPr>
          <w:rFonts w:ascii="Century Gothic" w:eastAsia="Century Gothic" w:hAnsi="Century Gothic" w:cs="Century Gothic"/>
          <w:sz w:val="22"/>
          <w:szCs w:val="22"/>
        </w:rPr>
        <w:t>’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efficacité et la toxicité de la colchicine (nausées, vomissements, diarrhées, douleur abdominale,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pancytopénie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neuromyopathie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rhabdomyolyse, dépression médullaire, atteinte rénale ou hépatique, éruption cutanée, azoospermie, défaillance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polyviscérale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, dé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pression respiratoire, collapsus cardiovasculaire, etc.).</w:t>
      </w:r>
    </w:p>
    <w:p w:rsidR="00831457" w:rsidRDefault="00831457">
      <w:pPr>
        <w:rPr>
          <w:rFonts w:ascii="Century Gothic" w:eastAsia="Century Gothic" w:hAnsi="Century Gothic" w:cs="Century Gothic"/>
          <w:sz w:val="22"/>
          <w:szCs w:val="22"/>
        </w:rPr>
      </w:pPr>
    </w:p>
    <w:p w:rsidR="00831457" w:rsidRDefault="007758F4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br w:type="page"/>
      </w:r>
    </w:p>
    <w:p w:rsidR="00831457" w:rsidRDefault="007758F4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Suggestion de la pharmacie ou nouvelle prescription</w:t>
      </w:r>
    </w:p>
    <w:p w:rsidR="00831457" w:rsidRDefault="00831457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6"/>
      </w:tblGrid>
      <w:tr w:rsidR="00831457">
        <w:tc>
          <w:tcPr>
            <w:tcW w:w="9396" w:type="dxa"/>
          </w:tcPr>
          <w:p w:rsidR="00831457" w:rsidRDefault="007758F4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Date : _____/_____/_____</w:t>
            </w:r>
          </w:p>
          <w:p w:rsidR="00831457" w:rsidRDefault="007758F4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Patient(e) : ________________________          DDN : _____/_____/_____</w:t>
            </w:r>
          </w:p>
          <w:p w:rsidR="00831457" w:rsidRDefault="007758F4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# Téléphone : _____________________________</w:t>
            </w:r>
          </w:p>
        </w:tc>
      </w:tr>
      <w:tr w:rsidR="00831457">
        <w:tc>
          <w:tcPr>
            <w:tcW w:w="9396" w:type="dxa"/>
          </w:tcPr>
          <w:p w:rsidR="00831457" w:rsidRDefault="007758F4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Rx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 : </w:t>
            </w:r>
          </w:p>
          <w:p w:rsidR="00831457" w:rsidRDefault="00831457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31457" w:rsidRDefault="00831457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31457" w:rsidRDefault="00831457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31457" w:rsidRDefault="00831457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31457" w:rsidRDefault="007758F4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Renouvellements : _____</w:t>
            </w:r>
          </w:p>
          <w:p w:rsidR="00831457" w:rsidRDefault="00831457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31457" w:rsidRDefault="00831457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31457" w:rsidRDefault="00831457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31457" w:rsidRDefault="007758F4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Médecin : __________     Numéro de pratique : __________    Signature : __________</w:t>
            </w:r>
          </w:p>
          <w:p w:rsidR="00831457" w:rsidRDefault="007758F4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Adresse : ____________________________________________</w:t>
            </w:r>
          </w:p>
          <w:p w:rsidR="00831457" w:rsidRDefault="007758F4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#Téléphone : ____________________     #Télécopieur : ________________</w:t>
            </w:r>
          </w:p>
        </w:tc>
      </w:tr>
      <w:tr w:rsidR="00831457">
        <w:tc>
          <w:tcPr>
            <w:tcW w:w="9396" w:type="dxa"/>
          </w:tcPr>
          <w:p w:rsidR="00831457" w:rsidRDefault="007758F4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Certification du prescripteur </w:t>
            </w:r>
          </w:p>
          <w:p w:rsidR="00831457" w:rsidRDefault="007758F4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Je certifie que : </w:t>
            </w:r>
          </w:p>
          <w:p w:rsidR="00831457" w:rsidRDefault="007758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cette ordonnance est une ordonnance originale, </w:t>
            </w:r>
          </w:p>
          <w:p w:rsidR="00831457" w:rsidRDefault="007758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le pharmacien identifié précité est le seul destinataire, </w:t>
            </w:r>
          </w:p>
          <w:p w:rsidR="00831457" w:rsidRDefault="007758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l’original ne sera pas réutilisé.</w:t>
            </w:r>
          </w:p>
        </w:tc>
      </w:tr>
    </w:tbl>
    <w:p w:rsidR="00831457" w:rsidRDefault="0083145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831457" w:rsidRDefault="007758F4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Veuillez svp nous faire parvenir une copie de cette page avec votre conduite à tenir. </w:t>
      </w:r>
    </w:p>
    <w:p w:rsidR="00831457" w:rsidRDefault="0083145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831457" w:rsidRDefault="007758F4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Si vous avez besoin d’information complémentaire, n’hésitez pas à communiquer avec moi. </w:t>
      </w:r>
    </w:p>
    <w:p w:rsidR="00831457" w:rsidRDefault="0083145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831457" w:rsidRDefault="007758F4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Cordialement, </w:t>
      </w:r>
    </w:p>
    <w:p w:rsidR="00831457" w:rsidRDefault="0083145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831457" w:rsidRDefault="007758F4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Pharmacien(ne) : 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Pharmacie : ____________</w:t>
      </w:r>
      <w:r>
        <w:rPr>
          <w:rFonts w:ascii="Century Gothic" w:eastAsia="Century Gothic" w:hAnsi="Century Gothic" w:cs="Century Gothic"/>
          <w:sz w:val="22"/>
          <w:szCs w:val="22"/>
        </w:rPr>
        <w:t>________</w:t>
      </w:r>
    </w:p>
    <w:p w:rsidR="00831457" w:rsidRDefault="007758F4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#Téléphone : 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#Télécopieur : ____________________</w:t>
      </w:r>
    </w:p>
    <w:p w:rsidR="00831457" w:rsidRDefault="00831457">
      <w:pPr>
        <w:rPr>
          <w:rFonts w:ascii="Century Gothic" w:eastAsia="Century Gothic" w:hAnsi="Century Gothic" w:cs="Century Gothic"/>
          <w:sz w:val="22"/>
          <w:szCs w:val="22"/>
        </w:rPr>
      </w:pPr>
    </w:p>
    <w:p w:rsidR="00831457" w:rsidRDefault="007758F4">
      <w:pPr>
        <w:rPr>
          <w:rFonts w:ascii="Century Gothic" w:eastAsia="Century Gothic" w:hAnsi="Century Gothic" w:cs="Century Gothic"/>
          <w:sz w:val="22"/>
          <w:szCs w:val="22"/>
        </w:rPr>
      </w:pPr>
      <w:r>
        <w:br w:type="page"/>
      </w:r>
    </w:p>
    <w:p w:rsidR="00831457" w:rsidRDefault="007758F4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b/>
          <w:sz w:val="22"/>
          <w:szCs w:val="22"/>
        </w:rPr>
        <w:t>Références</w:t>
      </w:r>
      <w:proofErr w:type="gram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 : </w:t>
      </w:r>
    </w:p>
    <w:p w:rsidR="00831457" w:rsidRDefault="0083145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entury Gothic" w:eastAsia="Century Gothic" w:hAnsi="Century Gothic" w:cs="Century Gothic"/>
          <w:sz w:val="22"/>
          <w:szCs w:val="22"/>
          <w:shd w:val="clear" w:color="auto" w:fill="F4CCCC"/>
        </w:rPr>
      </w:pPr>
    </w:p>
    <w:p w:rsidR="00831457" w:rsidRDefault="007758F4" w:rsidP="006456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onographie : </w:t>
      </w:r>
      <w:proofErr w:type="spellStart"/>
      <w:r w:rsidR="00645618"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z w:val="22"/>
          <w:szCs w:val="22"/>
        </w:rPr>
        <w:t>vitégravir</w:t>
      </w:r>
      <w:proofErr w:type="spellEnd"/>
      <w:r w:rsidR="00645618"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cobicistat</w:t>
      </w:r>
      <w:proofErr w:type="spellEnd"/>
      <w:r w:rsidR="00645618"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emtricitabine</w:t>
      </w:r>
      <w:proofErr w:type="spellEnd"/>
      <w:r w:rsidR="00645618"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 w:rsidR="00645618">
        <w:rPr>
          <w:rFonts w:ascii="Century Gothic" w:eastAsia="Century Gothic" w:hAnsi="Century Gothic" w:cs="Century Gothic"/>
          <w:sz w:val="22"/>
          <w:szCs w:val="22"/>
        </w:rPr>
        <w:t>ténofovir</w:t>
      </w:r>
      <w:proofErr w:type="spellEnd"/>
      <w:r w:rsidR="00645618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 w:rsidR="00645618">
        <w:rPr>
          <w:rFonts w:ascii="Century Gothic" w:eastAsia="Century Gothic" w:hAnsi="Century Gothic" w:cs="Century Gothic"/>
          <w:sz w:val="22"/>
          <w:szCs w:val="22"/>
        </w:rPr>
        <w:t>alafénamide</w:t>
      </w:r>
      <w:proofErr w:type="spellEnd"/>
      <w:r w:rsidR="00645618"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 w:rsidR="00645618">
        <w:rPr>
          <w:rFonts w:ascii="Century Gothic" w:eastAsia="Century Gothic" w:hAnsi="Century Gothic" w:cs="Century Gothic"/>
          <w:sz w:val="22"/>
          <w:szCs w:val="22"/>
        </w:rPr>
        <w:t>Genvoya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),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Gilead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Sciences Canada Inc., Ontario, Canada, </w:t>
      </w:r>
      <w:r w:rsidR="00645618" w:rsidRPr="00645618">
        <w:rPr>
          <w:rFonts w:ascii="Century Gothic" w:eastAsia="Century Gothic" w:hAnsi="Century Gothic" w:cs="Century Gothic"/>
          <w:sz w:val="22"/>
          <w:szCs w:val="22"/>
        </w:rPr>
        <w:t>6 août 2021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831457" w:rsidRDefault="007758F4" w:rsidP="006456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Monographie : Colchicine.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645618" w:rsidRPr="00645618">
        <w:rPr>
          <w:rFonts w:ascii="Century Gothic" w:eastAsia="Century Gothic" w:hAnsi="Century Gothic" w:cs="Century Gothic"/>
          <w:sz w:val="22"/>
          <w:szCs w:val="22"/>
        </w:rPr>
        <w:t>Sandoz, Québec, Canada, 8 décembre 2017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831457" w:rsidRDefault="007758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Monographie :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Norvir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), Corporation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AbbVie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Québec, Canada, </w:t>
      </w:r>
      <w:r w:rsidR="00FF7DA0">
        <w:rPr>
          <w:rFonts w:ascii="Century Gothic" w:eastAsia="Century Gothic" w:hAnsi="Century Gothic" w:cs="Century Gothic"/>
          <w:sz w:val="22"/>
          <w:szCs w:val="22"/>
        </w:rPr>
        <w:t>5 juillet 2021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831457" w:rsidRDefault="007758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proofErr w:type="spellStart"/>
      <w:r w:rsidRPr="00FF7DA0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Wason</w:t>
      </w:r>
      <w:proofErr w:type="spellEnd"/>
      <w:r w:rsidRPr="00FF7DA0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S, </w:t>
      </w:r>
      <w:proofErr w:type="spellStart"/>
      <w:r w:rsidRPr="00FF7DA0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DiGiacinto</w:t>
      </w:r>
      <w:proofErr w:type="spellEnd"/>
      <w:r w:rsidRPr="00FF7DA0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JL, Davis MW. Clinically Significant Pharmacokinetic Interaction </w:t>
      </w:r>
      <w:proofErr w:type="gramStart"/>
      <w:r w:rsidRPr="00FF7DA0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Betw</w:t>
      </w:r>
      <w:r w:rsidRPr="00FF7DA0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een</w:t>
      </w:r>
      <w:proofErr w:type="gramEnd"/>
      <w:r w:rsidRPr="00FF7DA0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Colchicine</w:t>
      </w:r>
      <w:r w:rsidRPr="00FF7DA0">
        <w:rPr>
          <w:rFonts w:ascii="MS Mincho" w:eastAsia="MS Mincho" w:hAnsi="MS Mincho" w:cs="MS Mincho"/>
          <w:color w:val="000000"/>
          <w:sz w:val="22"/>
          <w:szCs w:val="22"/>
          <w:lang w:val="en-CA"/>
        </w:rPr>
        <w:t> </w:t>
      </w:r>
      <w:r w:rsidRPr="00FF7DA0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and Ritonavir in Healthy Volunteers.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Clinical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Medecine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Insights: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Therapeutics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2013; 5: 25-32. </w:t>
      </w:r>
    </w:p>
    <w:p w:rsidR="00831457" w:rsidRDefault="007758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Finkelstein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Y,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Aks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SE, Hutson JR et al. </w:t>
      </w:r>
      <w:r w:rsidRPr="00FF7DA0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Colchicine </w:t>
      </w:r>
      <w:proofErr w:type="spellStart"/>
      <w:proofErr w:type="gramStart"/>
      <w:r w:rsidRPr="00FF7DA0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poisonning</w:t>
      </w:r>
      <w:proofErr w:type="spellEnd"/>
      <w:r w:rsidRPr="00FF7DA0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 :</w:t>
      </w:r>
      <w:proofErr w:type="gramEnd"/>
      <w:r w:rsidRPr="00FF7DA0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the dark side of an ancient drug.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Clin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Toxicol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Phila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 2010 Jun; 48(5): 407-14.</w:t>
      </w:r>
    </w:p>
    <w:p w:rsidR="00831457" w:rsidRPr="00FF7DA0" w:rsidRDefault="007758F4" w:rsidP="00FF7D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</w:pPr>
      <w:r w:rsidRPr="00FF7DA0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U.</w:t>
      </w:r>
      <w:r w:rsidRPr="00FF7DA0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S. Food </w:t>
      </w:r>
      <w:r w:rsidRPr="00FF7DA0">
        <w:rPr>
          <w:rFonts w:ascii="Century Gothic" w:eastAsia="Century Gothic" w:hAnsi="Century Gothic" w:cs="Century Gothic"/>
          <w:color w:val="1D1D1D"/>
          <w:sz w:val="22"/>
          <w:szCs w:val="22"/>
          <w:lang w:val="en-CA"/>
        </w:rPr>
        <w:t xml:space="preserve">and Drug Administration (FDA). </w:t>
      </w:r>
      <w:hyperlink r:id="rId8">
        <w:proofErr w:type="spellStart"/>
        <w:r w:rsidR="00FF7DA0">
          <w:rPr>
            <w:rFonts w:ascii="Century Gothic" w:eastAsia="Century Gothic" w:hAnsi="Century Gothic" w:cs="Century Gothic"/>
            <w:color w:val="1D1D1D"/>
            <w:sz w:val="22"/>
            <w:szCs w:val="22"/>
            <w:lang w:val="en-CA"/>
          </w:rPr>
          <w:t>Postmarket</w:t>
        </w:r>
        <w:proofErr w:type="spellEnd"/>
        <w:r w:rsidR="00FF7DA0">
          <w:rPr>
            <w:rFonts w:ascii="Century Gothic" w:eastAsia="Century Gothic" w:hAnsi="Century Gothic" w:cs="Century Gothic"/>
            <w:color w:val="1D1D1D"/>
            <w:sz w:val="22"/>
            <w:szCs w:val="22"/>
            <w:lang w:val="en-CA"/>
          </w:rPr>
          <w:t xml:space="preserve"> Drug Safety </w:t>
        </w:r>
        <w:r w:rsidRPr="00FF7DA0">
          <w:rPr>
            <w:rFonts w:ascii="Century Gothic" w:eastAsia="Century Gothic" w:hAnsi="Century Gothic" w:cs="Century Gothic"/>
            <w:color w:val="1D1D1D"/>
            <w:sz w:val="22"/>
            <w:szCs w:val="22"/>
            <w:lang w:val="en-CA"/>
          </w:rPr>
          <w:t xml:space="preserve">Information for Patients and Providers : </w:t>
        </w:r>
      </w:hyperlink>
      <w:hyperlink r:id="rId9">
        <w:r w:rsidRPr="00FF7DA0">
          <w:rPr>
            <w:rFonts w:ascii="Century Gothic" w:eastAsia="Century Gothic" w:hAnsi="Century Gothic" w:cs="Century Gothic"/>
            <w:color w:val="1D1D1D"/>
            <w:sz w:val="22"/>
            <w:szCs w:val="22"/>
            <w:lang w:val="en-CA"/>
          </w:rPr>
          <w:t>C</w:t>
        </w:r>
        <w:r w:rsidR="00FF7DA0">
          <w:rPr>
            <w:rFonts w:ascii="Century Gothic" w:eastAsia="Century Gothic" w:hAnsi="Century Gothic" w:cs="Century Gothic"/>
            <w:color w:val="1D1D1D"/>
            <w:sz w:val="22"/>
            <w:szCs w:val="22"/>
            <w:lang w:val="en-CA"/>
          </w:rPr>
          <w:t>olchicine (marketed as Colcrys)</w:t>
        </w:r>
        <w:r w:rsidRPr="00FF7DA0">
          <w:rPr>
            <w:rFonts w:ascii="Century Gothic" w:eastAsia="Century Gothic" w:hAnsi="Century Gothic" w:cs="Century Gothic"/>
            <w:color w:val="1D1D1D"/>
            <w:sz w:val="22"/>
            <w:szCs w:val="22"/>
            <w:lang w:val="en-CA"/>
          </w:rPr>
          <w:t>Information</w:t>
        </w:r>
      </w:hyperlink>
      <w:r w:rsidRPr="00FF7DA0">
        <w:rPr>
          <w:rFonts w:ascii="Century Gothic" w:eastAsia="Century Gothic" w:hAnsi="Century Gothic" w:cs="Century Gothic"/>
          <w:color w:val="1D1D1D"/>
          <w:sz w:val="22"/>
          <w:szCs w:val="22"/>
          <w:lang w:val="en-CA"/>
        </w:rPr>
        <w:t xml:space="preserve">. </w:t>
      </w:r>
      <w:proofErr w:type="spellStart"/>
      <w:proofErr w:type="gramStart"/>
      <w:r w:rsidRPr="00FF7DA0">
        <w:rPr>
          <w:rFonts w:ascii="Century Gothic" w:eastAsia="Century Gothic" w:hAnsi="Century Gothic" w:cs="Century Gothic"/>
          <w:color w:val="1D1D1D"/>
          <w:sz w:val="22"/>
          <w:szCs w:val="22"/>
          <w:lang w:val="en-CA"/>
        </w:rPr>
        <w:t>juillet</w:t>
      </w:r>
      <w:proofErr w:type="spellEnd"/>
      <w:proofErr w:type="gramEnd"/>
      <w:r w:rsidRPr="00FF7DA0">
        <w:rPr>
          <w:rFonts w:ascii="Century Gothic" w:eastAsia="Century Gothic" w:hAnsi="Century Gothic" w:cs="Century Gothic"/>
          <w:color w:val="1D1D1D"/>
          <w:sz w:val="22"/>
          <w:szCs w:val="22"/>
          <w:lang w:val="en-CA"/>
        </w:rPr>
        <w:t xml:space="preserve"> 2009. </w:t>
      </w:r>
      <w:r w:rsidRPr="00FF7DA0">
        <w:rPr>
          <w:rFonts w:ascii="Century Gothic" w:eastAsia="Century Gothic" w:hAnsi="Century Gothic" w:cs="Century Gothic"/>
          <w:color w:val="1D1D1D"/>
          <w:sz w:val="22"/>
          <w:szCs w:val="22"/>
        </w:rPr>
        <w:t xml:space="preserve">Disponible : </w:t>
      </w:r>
      <w:r w:rsidRPr="00FF7DA0">
        <w:rPr>
          <w:rFonts w:ascii="Century Gothic" w:eastAsia="Century Gothic" w:hAnsi="Century Gothic" w:cs="Century Gothic"/>
          <w:color w:val="0000FF"/>
          <w:sz w:val="22"/>
          <w:szCs w:val="22"/>
        </w:rPr>
        <w:t>https://www.fda.gov/drugs/drugsafety/postmarketdrugsafetyinformationforpatientsandprovide</w:t>
      </w:r>
      <w:r w:rsidRPr="00FF7DA0">
        <w:rPr>
          <w:rFonts w:ascii="Century Gothic" w:eastAsia="Century Gothic" w:hAnsi="Century Gothic" w:cs="Century Gothic"/>
          <w:color w:val="0000FF"/>
          <w:sz w:val="22"/>
          <w:szCs w:val="22"/>
        </w:rPr>
        <w:t>rs/ucm174382.htm</w:t>
      </w:r>
    </w:p>
    <w:p w:rsidR="00831457" w:rsidRDefault="007758F4" w:rsidP="00FF7D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Guide thérapeutique VIH. [En ligne]. Disponible : </w:t>
      </w:r>
      <w:hyperlink r:id="rId10">
        <w:r>
          <w:rPr>
            <w:rFonts w:ascii="Century Gothic" w:eastAsia="Century Gothic" w:hAnsi="Century Gothic" w:cs="Century Gothic"/>
            <w:color w:val="0563C1"/>
            <w:sz w:val="22"/>
            <w:szCs w:val="22"/>
            <w:u w:val="single"/>
          </w:rPr>
          <w:t>http://www.guidetherapeutiquevih.com</w:t>
        </w:r>
      </w:hyperlink>
      <w:bookmarkStart w:id="0" w:name="_GoBack"/>
      <w:bookmarkEnd w:id="0"/>
    </w:p>
    <w:p w:rsidR="00831457" w:rsidRDefault="0083145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831457" w:rsidRDefault="0083145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sectPr w:rsidR="00831457">
      <w:footerReference w:type="default" r:id="rId11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F4" w:rsidRDefault="007758F4">
      <w:r>
        <w:separator/>
      </w:r>
    </w:p>
  </w:endnote>
  <w:endnote w:type="continuationSeparator" w:id="0">
    <w:p w:rsidR="007758F4" w:rsidRDefault="0077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57" w:rsidRDefault="007758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1">
      <w:r>
        <w:rPr>
          <w:color w:val="0563C1"/>
          <w:u w:val="single"/>
        </w:rPr>
        <w:t>www.guidetherapeutiqueVIH.com</w:t>
      </w:r>
    </w:hyperlink>
    <w:r>
      <w:rPr>
        <w:color w:val="000000"/>
      </w:rPr>
      <w:t xml:space="preserve">  </w:t>
    </w:r>
    <w:r>
      <w:tab/>
    </w:r>
    <w:r>
      <w:tab/>
    </w:r>
    <w:r w:rsidR="00FF7DA0">
      <w:t>Février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F4" w:rsidRDefault="007758F4">
      <w:r>
        <w:separator/>
      </w:r>
    </w:p>
  </w:footnote>
  <w:footnote w:type="continuationSeparator" w:id="0">
    <w:p w:rsidR="007758F4" w:rsidRDefault="0077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2B1"/>
    <w:multiLevelType w:val="multilevel"/>
    <w:tmpl w:val="DEF01D8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977224"/>
    <w:multiLevelType w:val="multilevel"/>
    <w:tmpl w:val="4F5E17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9076234"/>
    <w:multiLevelType w:val="multilevel"/>
    <w:tmpl w:val="823A718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4631593"/>
    <w:multiLevelType w:val="multilevel"/>
    <w:tmpl w:val="D310C1E8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A2A6502"/>
    <w:multiLevelType w:val="multilevel"/>
    <w:tmpl w:val="8636278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C0118C4"/>
    <w:multiLevelType w:val="multilevel"/>
    <w:tmpl w:val="9DB24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1457"/>
    <w:rsid w:val="00645618"/>
    <w:rsid w:val="007758F4"/>
    <w:rsid w:val="00831457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F7DA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F7DA0"/>
  </w:style>
  <w:style w:type="paragraph" w:styleId="Pieddepage">
    <w:name w:val="footer"/>
    <w:basedOn w:val="Normal"/>
    <w:link w:val="PieddepageCar"/>
    <w:uiPriority w:val="99"/>
    <w:unhideWhenUsed/>
    <w:rsid w:val="00FF7DA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7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F7DA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F7DA0"/>
  </w:style>
  <w:style w:type="paragraph" w:styleId="Pieddepage">
    <w:name w:val="footer"/>
    <w:basedOn w:val="Normal"/>
    <w:link w:val="PieddepageCar"/>
    <w:uiPriority w:val="99"/>
    <w:unhideWhenUsed/>
    <w:rsid w:val="00FF7DA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Drugs/DrugSafety/PostmarketDrugSafetyInformationforPatientsandProvider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uidetherapeutiquevi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da.gov/Drugs/DrugSafety/PostmarketDrugSafetyInformationforPatientsandProviders/default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Pichette</dc:creator>
  <cp:lastModifiedBy>Claude</cp:lastModifiedBy>
  <cp:revision>3</cp:revision>
  <dcterms:created xsi:type="dcterms:W3CDTF">2022-02-02T08:26:00Z</dcterms:created>
  <dcterms:modified xsi:type="dcterms:W3CDTF">2022-02-02T08:40:00Z</dcterms:modified>
</cp:coreProperties>
</file>