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8D" w:rsidRDefault="004D4205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Opinion pharmaceutique </w:t>
      </w:r>
    </w:p>
    <w:p w:rsidR="00E5598D" w:rsidRDefault="00E5598D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E5598D" w:rsidRDefault="004D4205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Interaction entre les anticoagulants oraux et les antirétroviraux combinés au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ou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atazanavir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seul.</w:t>
      </w:r>
    </w:p>
    <w:p w:rsidR="00E5598D" w:rsidRDefault="00E5598D">
      <w:pPr>
        <w:jc w:val="center"/>
        <w:rPr>
          <w:rFonts w:ascii="Century Gothic" w:eastAsia="Century Gothic" w:hAnsi="Century Gothic" w:cs="Century Gothic"/>
        </w:rPr>
      </w:pP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Patient(e) : _________________________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DDN : _____/_____/_____</w:t>
      </w:r>
    </w:p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# Téléphone : ______________________________</w:t>
      </w:r>
    </w:p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Après avoir analysé le dossier de votre patient(e), j’ai relevé un problème relié à sa pharmacothérapie. </w:t>
      </w:r>
    </w:p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Interaction entre</w:t>
      </w:r>
    </w:p>
    <w:p w:rsidR="00E5598D" w:rsidRDefault="004D42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Apixaban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Eliquis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Pradaxa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Edoxaban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Lixiana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E5598D" w:rsidRDefault="004D42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Rivaroxaban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Xarelto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Et</w:t>
      </w:r>
    </w:p>
    <w:p w:rsidR="00E5598D" w:rsidRDefault="004D42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Darunavir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Prezcobix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Symtuza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lvitégravir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Emtricitabine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Ténofovir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Stribild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Genvoya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Atazanavir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Reyataz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Norvir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Darunavir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Prezista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Norvir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Lopinavir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Kaletra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Atazanavir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Reyataz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) </w:t>
      </w:r>
    </w:p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Une augmentation du risque des effets indésirables des anticoagulants oraux peut survenir lors de l’administration concomitante avec un antirétroviral mentionné ci-haut. Voici pourquoi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1, 2, 4, 7, 10, 15, 16, </w:t>
      </w:r>
      <w:r w:rsidR="001C2957">
        <w:rPr>
          <w:rFonts w:ascii="Century Gothic" w:eastAsia="Century Gothic" w:hAnsi="Century Gothic" w:cs="Century Gothic"/>
          <w:sz w:val="22"/>
          <w:szCs w:val="22"/>
          <w:vertAlign w:val="superscript"/>
        </w:rPr>
        <w:t>20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>:</w:t>
      </w:r>
    </w:p>
    <w:p w:rsidR="00E5598D" w:rsidRDefault="004D42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le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les inhibiteurs de la protéase (IP) sont des inhibiteurs du transporteur P-glycoprotéine (P-gp) et du cytochrome (CYP) 3A4.</w:t>
      </w:r>
    </w:p>
    <w:p w:rsidR="00E5598D" w:rsidRDefault="004D42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Le métabolisme de l’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apixaban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du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dabigatran</w:t>
      </w:r>
      <w:proofErr w:type="spellEnd"/>
      <w:r w:rsidR="00D6581A">
        <w:rPr>
          <w:rFonts w:ascii="Century Gothic" w:eastAsia="Century Gothic" w:hAnsi="Century Gothic" w:cs="Century Gothic"/>
          <w:color w:val="000000"/>
          <w:sz w:val="22"/>
          <w:szCs w:val="22"/>
        </w:rPr>
        <w:t>, de l’</w:t>
      </w:r>
      <w:proofErr w:type="spellStart"/>
      <w:r w:rsidR="00D6581A">
        <w:rPr>
          <w:rFonts w:ascii="Century Gothic" w:eastAsia="Century Gothic" w:hAnsi="Century Gothic" w:cs="Century Gothic"/>
          <w:color w:val="000000"/>
          <w:sz w:val="22"/>
          <w:szCs w:val="22"/>
        </w:rPr>
        <w:t>édoxaban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du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rivaroxaban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implique ce transporteur et</w:t>
      </w:r>
      <w:r w:rsidR="00854D78">
        <w:rPr>
          <w:rFonts w:ascii="Century Gothic" w:eastAsia="Century Gothic" w:hAnsi="Century Gothic" w:cs="Century Gothic"/>
          <w:color w:val="000000"/>
          <w:sz w:val="22"/>
          <w:szCs w:val="22"/>
        </w:rPr>
        <w:t>/ou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ce cytochrome.</w:t>
      </w:r>
    </w:p>
    <w:p w:rsidR="00E5598D" w:rsidRDefault="004D420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Ces inhibitions peuvent augmenter leur concentration plasmatique et leur risque d’effets indésirables (saignements).</w:t>
      </w:r>
    </w:p>
    <w:p w:rsidR="00E5598D" w:rsidRDefault="00E5598D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E5598D" w:rsidRDefault="004D4205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</w:rPr>
        <w:t>Pour de plus ample information voici des études évaluant leur potentiel d’interaction</w:t>
      </w:r>
      <w:r w:rsidR="00814EA0">
        <w:rPr>
          <w:rFonts w:ascii="Century Gothic" w:eastAsia="Century Gothic" w:hAnsi="Century Gothic" w:cs="Century Gothic"/>
          <w:sz w:val="22"/>
          <w:szCs w:val="22"/>
        </w:rPr>
        <w:t>s</w:t>
      </w:r>
      <w:r w:rsidR="001C2957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1C2957">
        <w:rPr>
          <w:rFonts w:ascii="Century Gothic" w:eastAsia="Century Gothic" w:hAnsi="Century Gothic" w:cs="Century Gothic"/>
          <w:sz w:val="22"/>
          <w:szCs w:val="22"/>
          <w:vertAlign w:val="superscript"/>
        </w:rPr>
        <w:t>1, 3, 4, 5, 6, 7, 8, 9, 16</w:t>
      </w:r>
      <w:r>
        <w:rPr>
          <w:rFonts w:ascii="Century Gothic" w:eastAsia="Century Gothic" w:hAnsi="Century Gothic" w:cs="Century Gothic"/>
          <w:sz w:val="22"/>
          <w:szCs w:val="22"/>
        </w:rPr>
        <w:t> :</w:t>
      </w:r>
    </w:p>
    <w:p w:rsidR="00E5598D" w:rsidRDefault="004D4205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Apixaban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Eliquis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)</w:t>
      </w: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> 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szCs w:val="22"/>
        </w:rPr>
        <w:t>:</w:t>
      </w:r>
      <w:proofErr w:type="gramEnd"/>
    </w:p>
    <w:p w:rsidR="00E5598D" w:rsidRDefault="004D42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Kétoconazole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+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pixaban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 : ↑ la surface sous la courbe (SSC) de 2 fois de l’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apixaban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. </w:t>
      </w:r>
    </w:p>
    <w:p w:rsidR="00E5598D" w:rsidRDefault="00E5598D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E5598D" w:rsidRDefault="004D4205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  <w:vertAlign w:val="superscript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Rivaroxaban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Xarelto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)</w:t>
      </w: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> 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szCs w:val="22"/>
        </w:rPr>
        <w:t>: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</w:p>
    <w:p w:rsidR="00E5598D" w:rsidRDefault="004D42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+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ivaroxaban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 : ↑ (SSC) de 2,5 fois du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rivaroxaban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E5598D" w:rsidRDefault="00E5598D">
      <w:pPr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E5598D" w:rsidRDefault="004D4205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Edoxaban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Lixiana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)</w:t>
      </w:r>
    </w:p>
    <w:p w:rsidR="00E5598D" w:rsidRDefault="004D4205">
      <w:pPr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Kétoconazole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+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édoxaban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 : ↑ (SSC) de 87% de l’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édoxaban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. </w:t>
      </w:r>
    </w:p>
    <w:p w:rsidR="00E5598D" w:rsidRDefault="00E5598D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750559" w:rsidRDefault="00750559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C8502A" w:rsidRDefault="00C8502A" w:rsidP="00C8502A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Dabigatran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 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Pradaxa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) </w:t>
      </w:r>
    </w:p>
    <w:p w:rsidR="00C8502A" w:rsidRDefault="00C8502A" w:rsidP="00C850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8502A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Des études ont montré une augmentation importante de la biodisponibilité du </w:t>
      </w:r>
      <w:proofErr w:type="spellStart"/>
      <w:r w:rsidRPr="00C8502A">
        <w:rPr>
          <w:rFonts w:ascii="Century Gothic" w:eastAsia="Century Gothic" w:hAnsi="Century Gothic" w:cs="Century Gothic"/>
          <w:color w:val="000000"/>
          <w:sz w:val="22"/>
          <w:szCs w:val="22"/>
        </w:rPr>
        <w:t>dabigatran</w:t>
      </w:r>
      <w:proofErr w:type="spellEnd"/>
      <w:r w:rsidRPr="00C8502A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lorsqu’il est administré avec des inhibiteurs de la P-gp (</w:t>
      </w:r>
      <w:proofErr w:type="spellStart"/>
      <w:r w:rsidRPr="00C8502A">
        <w:rPr>
          <w:rFonts w:ascii="Century Gothic" w:eastAsia="Century Gothic" w:hAnsi="Century Gothic" w:cs="Century Gothic"/>
          <w:color w:val="000000"/>
          <w:sz w:val="22"/>
          <w:szCs w:val="22"/>
        </w:rPr>
        <w:t>kétoconazole</w:t>
      </w:r>
      <w:proofErr w:type="spellEnd"/>
      <w:r w:rsidRPr="00C8502A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 w:rsidRPr="00C8502A">
        <w:rPr>
          <w:rFonts w:ascii="Century Gothic" w:eastAsia="Century Gothic" w:hAnsi="Century Gothic" w:cs="Century Gothic"/>
          <w:color w:val="000000"/>
          <w:sz w:val="22"/>
          <w:szCs w:val="22"/>
        </w:rPr>
        <w:t>glécaprévir</w:t>
      </w:r>
      <w:proofErr w:type="spellEnd"/>
      <w:r w:rsidRPr="00C8502A"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 w:rsidRPr="00C8502A">
        <w:rPr>
          <w:rFonts w:ascii="Century Gothic" w:eastAsia="Century Gothic" w:hAnsi="Century Gothic" w:cs="Century Gothic"/>
          <w:color w:val="000000"/>
          <w:sz w:val="22"/>
          <w:szCs w:val="22"/>
        </w:rPr>
        <w:t>pibrentasvir</w:t>
      </w:r>
      <w:proofErr w:type="spellEnd"/>
      <w:r w:rsidRPr="00C8502A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 w:rsidRPr="00C8502A">
        <w:rPr>
          <w:rFonts w:ascii="Century Gothic" w:eastAsia="Century Gothic" w:hAnsi="Century Gothic" w:cs="Century Gothic"/>
          <w:color w:val="000000"/>
          <w:sz w:val="22"/>
          <w:szCs w:val="22"/>
        </w:rPr>
        <w:t>dronédarone</w:t>
      </w:r>
      <w:proofErr w:type="spellEnd"/>
      <w:r w:rsidRPr="00C8502A">
        <w:rPr>
          <w:rFonts w:ascii="Century Gothic" w:eastAsia="Century Gothic" w:hAnsi="Century Gothic" w:cs="Century Gothic"/>
          <w:color w:val="000000"/>
          <w:sz w:val="22"/>
          <w:szCs w:val="22"/>
        </w:rPr>
        <w:t>, amio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darone,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quinidine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vérapamil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E5598D" w:rsidRDefault="004D4205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 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Pradaxa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) +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 :</w:t>
      </w:r>
    </w:p>
    <w:p w:rsidR="00E5598D" w:rsidRDefault="00C8502A" w:rsidP="00C850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8502A">
        <w:rPr>
          <w:rFonts w:ascii="Century Gothic" w:eastAsia="Century Gothic" w:hAnsi="Century Gothic" w:cs="Century Gothic"/>
          <w:color w:val="000000"/>
          <w:sz w:val="22"/>
          <w:szCs w:val="22"/>
        </w:rPr>
        <w:t>Contrairement aux attentes,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+ </w:t>
      </w:r>
      <w:proofErr w:type="spellStart"/>
      <w:r w:rsidR="004D4205">
        <w:rPr>
          <w:rFonts w:ascii="Century Gothic" w:eastAsia="Century Gothic" w:hAnsi="Century Gothic" w:cs="Century Gothic"/>
          <w:sz w:val="22"/>
          <w:szCs w:val="22"/>
        </w:rPr>
        <w:t>d</w:t>
      </w:r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>abigatran</w:t>
      </w:r>
      <w:proofErr w:type="spellEnd"/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(simultané</w:t>
      </w:r>
      <w:r w:rsidR="001C2957">
        <w:rPr>
          <w:rFonts w:ascii="Century Gothic" w:eastAsia="Century Gothic" w:hAnsi="Century Gothic" w:cs="Century Gothic"/>
          <w:color w:val="000000"/>
          <w:sz w:val="22"/>
          <w:szCs w:val="22"/>
        </w:rPr>
        <w:t>ment</w:t>
      </w:r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ou 2 heures avant le </w:t>
      </w:r>
      <w:proofErr w:type="spellStart"/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>) : aucune interaction médicamenteuse significative.</w:t>
      </w:r>
    </w:p>
    <w:p w:rsidR="00E5598D" w:rsidRDefault="004D42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Lopinavir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 : un rapport de cas qui a également été publié et qui ne démontre aucune interaction en le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lopinavir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E5598D" w:rsidRDefault="004D42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Deux autres rapports de cas, l’un avec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atazanavir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l’autre avec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darunavir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, ne démontrant aucune interaction significative ont été publiés.</w:t>
      </w:r>
    </w:p>
    <w:p w:rsidR="00E5598D" w:rsidRDefault="004D4205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 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Pradaxa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) +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 :</w:t>
      </w:r>
    </w:p>
    <w:p w:rsidR="00E5598D" w:rsidRDefault="004D42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+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(simultanément ou 2 heures avant le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) : Contrairement au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on observe une augmentation d’environ 2 fois la SSC du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 Il est recommandé d’éviter cette association.</w:t>
      </w:r>
    </w:p>
    <w:p w:rsidR="00E5598D" w:rsidRDefault="00E5598D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  <w:u w:val="single"/>
        </w:rPr>
        <w:t>Options thérapeutiques possibles</w:t>
      </w:r>
      <w:r>
        <w:rPr>
          <w:rFonts w:ascii="Century Gothic" w:eastAsia="Century Gothic" w:hAnsi="Century Gothic" w:cs="Century Gothic"/>
          <w:sz w:val="22"/>
          <w:szCs w:val="22"/>
          <w:u w:val="single"/>
          <w:vertAlign w:val="superscript"/>
        </w:rPr>
        <w:t>1-2</w:t>
      </w:r>
      <w:r w:rsidR="001C2957">
        <w:rPr>
          <w:rFonts w:ascii="Century Gothic" w:eastAsia="Century Gothic" w:hAnsi="Century Gothic" w:cs="Century Gothic"/>
          <w:sz w:val="22"/>
          <w:szCs w:val="22"/>
          <w:u w:val="single"/>
          <w:vertAlign w:val="superscript"/>
        </w:rPr>
        <w:t>1</w:t>
      </w:r>
      <w:r>
        <w:rPr>
          <w:rFonts w:ascii="Century Gothic" w:eastAsia="Century Gothic" w:hAnsi="Century Gothic" w:cs="Century Gothic"/>
          <w:sz w:val="22"/>
          <w:szCs w:val="22"/>
          <w:u w:val="single"/>
        </w:rPr>
        <w:t xml:space="preserve"> : </w:t>
      </w:r>
    </w:p>
    <w:p w:rsidR="00E5598D" w:rsidRDefault="004D4205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Apixaban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</w:p>
    <w:p w:rsidR="00E5598D" w:rsidRDefault="004D420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Les monographies canadiennes d’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apixaban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Prezista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Stribild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Genvoya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Prezcobix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et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Symtuza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contre-indiquent cette association. Cependant la monographie américaine d’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apixaban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suggère de d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iminuer la dose de 50 %, sauf si la dose de départ est de 2,5 mg BI</w:t>
      </w:r>
      <w:r>
        <w:rPr>
          <w:rFonts w:ascii="Century Gothic" w:eastAsia="Century Gothic" w:hAnsi="Century Gothic" w:cs="Century Gothic"/>
          <w:sz w:val="22"/>
          <w:szCs w:val="22"/>
        </w:rPr>
        <w:t>D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. </w:t>
      </w:r>
    </w:p>
    <w:p w:rsidR="00E5598D" w:rsidRDefault="004D420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Solutions de rechange :</w:t>
      </w:r>
    </w:p>
    <w:p w:rsidR="00E5598D" w:rsidRDefault="004D420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Warfarine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Coumadin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Pradaxa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Héparine de faible poids moléculaire (HFPM) :_______________.</w:t>
      </w:r>
    </w:p>
    <w:p w:rsidR="00E5598D" w:rsidRDefault="004D4205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Edoxaban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</w:p>
    <w:p w:rsidR="00E5598D" w:rsidRDefault="004D4205" w:rsidP="0026158D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Diminuer la dose à 30 mg QD avec puissants inhibiteurs de la P-gp selon la monographie</w:t>
      </w:r>
      <w:r w:rsidR="0026158D">
        <w:rPr>
          <w:rFonts w:ascii="Century Gothic" w:eastAsia="Century Gothic" w:hAnsi="Century Gothic" w:cs="Century Gothic"/>
          <w:sz w:val="22"/>
          <w:szCs w:val="22"/>
        </w:rPr>
        <w:t xml:space="preserve"> canadienne</w:t>
      </w:r>
      <w:r>
        <w:rPr>
          <w:rFonts w:ascii="Century Gothic" w:eastAsia="Century Gothic" w:hAnsi="Century Gothic" w:cs="Century Gothic"/>
          <w:sz w:val="22"/>
          <w:szCs w:val="22"/>
        </w:rPr>
        <w:t>.</w:t>
      </w:r>
      <w:r w:rsidR="0026158D">
        <w:rPr>
          <w:rFonts w:ascii="Century Gothic" w:eastAsia="Century Gothic" w:hAnsi="Century Gothic" w:cs="Century Gothic"/>
          <w:sz w:val="22"/>
          <w:szCs w:val="22"/>
        </w:rPr>
        <w:t xml:space="preserve"> Cependant, suite aux observations de </w:t>
      </w:r>
      <w:r w:rsidR="0026158D" w:rsidRPr="0026158D">
        <w:rPr>
          <w:rFonts w:ascii="Century Gothic" w:eastAsia="Century Gothic" w:hAnsi="Century Gothic" w:cs="Century Gothic"/>
          <w:sz w:val="22"/>
          <w:szCs w:val="22"/>
        </w:rPr>
        <w:t>l’étude ENGAGE AF-TIMI</w:t>
      </w:r>
      <w:r w:rsidR="0026158D">
        <w:rPr>
          <w:rFonts w:ascii="Century Gothic" w:eastAsia="Century Gothic" w:hAnsi="Century Gothic" w:cs="Century Gothic"/>
          <w:sz w:val="22"/>
          <w:szCs w:val="22"/>
        </w:rPr>
        <w:t>, la monographie américaine d’</w:t>
      </w:r>
      <w:proofErr w:type="spellStart"/>
      <w:r w:rsidR="00D529AE">
        <w:rPr>
          <w:rFonts w:ascii="Century Gothic" w:eastAsia="Century Gothic" w:hAnsi="Century Gothic" w:cs="Century Gothic"/>
          <w:sz w:val="22"/>
          <w:szCs w:val="22"/>
        </w:rPr>
        <w:t>é</w:t>
      </w:r>
      <w:r w:rsidR="0026158D">
        <w:rPr>
          <w:rFonts w:ascii="Century Gothic" w:eastAsia="Century Gothic" w:hAnsi="Century Gothic" w:cs="Century Gothic"/>
          <w:sz w:val="22"/>
          <w:szCs w:val="22"/>
        </w:rPr>
        <w:t>doxaban</w:t>
      </w:r>
      <w:proofErr w:type="spellEnd"/>
      <w:r w:rsidR="0026158D">
        <w:rPr>
          <w:rFonts w:ascii="Century Gothic" w:eastAsia="Century Gothic" w:hAnsi="Century Gothic" w:cs="Century Gothic"/>
          <w:sz w:val="22"/>
          <w:szCs w:val="22"/>
        </w:rPr>
        <w:t>, ne recommande aucun ajustement de dose lors de l’administration concomitante avec des inhibiteurs de la P-gp.</w:t>
      </w:r>
    </w:p>
    <w:p w:rsidR="00E5598D" w:rsidRDefault="004D4205" w:rsidP="005E2A0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Solutions de rechange :</w:t>
      </w:r>
    </w:p>
    <w:p w:rsidR="00E5598D" w:rsidRDefault="004D4205">
      <w:pPr>
        <w:numPr>
          <w:ilvl w:val="1"/>
          <w:numId w:val="6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Warfarine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Coumadin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E5598D" w:rsidRDefault="004D4205">
      <w:pPr>
        <w:numPr>
          <w:ilvl w:val="1"/>
          <w:numId w:val="6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Pradaxa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E5598D" w:rsidRDefault="004D4205">
      <w:pPr>
        <w:numPr>
          <w:ilvl w:val="1"/>
          <w:numId w:val="6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Héparine de faible poids moléculaire (HFPM) :_______________.</w:t>
      </w:r>
    </w:p>
    <w:p w:rsidR="00E5598D" w:rsidRDefault="004D4205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Rivaroxaban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</w:p>
    <w:p w:rsidR="00E5598D" w:rsidRDefault="004D4205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*Contre-indiqué*</w:t>
      </w:r>
    </w:p>
    <w:p w:rsidR="00E5598D" w:rsidRDefault="004D420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Solution de rechange : </w:t>
      </w:r>
    </w:p>
    <w:p w:rsidR="00E5598D" w:rsidRDefault="004D42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Warfarine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Coumadin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Pradaxa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Héparine de faible poids moléculaire (HFPM) :_______________.</w:t>
      </w:r>
    </w:p>
    <w:p w:rsidR="00E5598D" w:rsidRDefault="00E5598D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5E2A01" w:rsidRDefault="005E2A01" w:rsidP="00C8502A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5E2A01" w:rsidRDefault="005E2A01" w:rsidP="00C8502A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5E2A01" w:rsidRDefault="005E2A01" w:rsidP="00C8502A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5E2A01" w:rsidRDefault="005E2A01" w:rsidP="00C8502A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C8502A" w:rsidRDefault="00C8502A" w:rsidP="00C8502A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+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</w:p>
    <w:p w:rsidR="00C8502A" w:rsidRDefault="005E2A01" w:rsidP="005E2A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5E2A01">
        <w:rPr>
          <w:rFonts w:ascii="Century Gothic" w:eastAsia="Century Gothic" w:hAnsi="Century Gothic" w:cs="Century Gothic"/>
          <w:sz w:val="22"/>
          <w:szCs w:val="22"/>
        </w:rPr>
        <w:t>Aucun ajustement de dose n'est recommandé à priori.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>La monographie</w:t>
      </w:r>
      <w:r w:rsidR="00C8502A">
        <w:rPr>
          <w:rFonts w:ascii="Century Gothic" w:eastAsia="Century Gothic" w:hAnsi="Century Gothic" w:cs="Century Gothic"/>
          <w:sz w:val="22"/>
          <w:szCs w:val="22"/>
        </w:rPr>
        <w:t xml:space="preserve"> de </w:t>
      </w:r>
      <w:proofErr w:type="spellStart"/>
      <w:r w:rsidR="00C8502A">
        <w:rPr>
          <w:rFonts w:ascii="Century Gothic" w:eastAsia="Century Gothic" w:hAnsi="Century Gothic" w:cs="Century Gothic"/>
          <w:sz w:val="22"/>
          <w:szCs w:val="22"/>
        </w:rPr>
        <w:t>dabigatran</w:t>
      </w:r>
      <w:proofErr w:type="spellEnd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 xml:space="preserve"> recommande la prudence lors de la </w:t>
      </w:r>
      <w:proofErr w:type="spellStart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>co</w:t>
      </w:r>
      <w:proofErr w:type="spellEnd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>-administration avec certains inhibiteurs de la P-gp, y compris, mais sans s’y limiter, la cyclosporine, l’</w:t>
      </w:r>
      <w:proofErr w:type="spellStart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>itraconazole</w:t>
      </w:r>
      <w:proofErr w:type="spellEnd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 xml:space="preserve">, le </w:t>
      </w:r>
      <w:proofErr w:type="spellStart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>nelfinavir</w:t>
      </w:r>
      <w:proofErr w:type="spellEnd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 xml:space="preserve">, le </w:t>
      </w:r>
      <w:proofErr w:type="spellStart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>posaconazole</w:t>
      </w:r>
      <w:proofErr w:type="spellEnd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 xml:space="preserve">, le </w:t>
      </w:r>
      <w:proofErr w:type="spellStart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>ritonavir</w:t>
      </w:r>
      <w:proofErr w:type="spellEnd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 xml:space="preserve">, le </w:t>
      </w:r>
      <w:proofErr w:type="spellStart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>saquinavir</w:t>
      </w:r>
      <w:proofErr w:type="spellEnd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 xml:space="preserve">, le </w:t>
      </w:r>
      <w:proofErr w:type="spellStart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>tacrolimus</w:t>
      </w:r>
      <w:proofErr w:type="spellEnd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 xml:space="preserve"> et le </w:t>
      </w:r>
      <w:proofErr w:type="spellStart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>tipranavir</w:t>
      </w:r>
      <w:proofErr w:type="spellEnd"/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>, car ils peuvent accroître l’expo</w:t>
      </w:r>
      <w:r w:rsidR="00C8502A">
        <w:rPr>
          <w:rFonts w:ascii="Century Gothic" w:eastAsia="Century Gothic" w:hAnsi="Century Gothic" w:cs="Century Gothic"/>
          <w:sz w:val="22"/>
          <w:szCs w:val="22"/>
        </w:rPr>
        <w:t xml:space="preserve">sition systémique au </w:t>
      </w:r>
      <w:proofErr w:type="spellStart"/>
      <w:r w:rsidR="00C8502A">
        <w:rPr>
          <w:rFonts w:ascii="Century Gothic" w:eastAsia="Century Gothic" w:hAnsi="Century Gothic" w:cs="Century Gothic"/>
          <w:sz w:val="22"/>
          <w:szCs w:val="22"/>
        </w:rPr>
        <w:t>dabigatran</w:t>
      </w:r>
      <w:proofErr w:type="spellEnd"/>
      <w:r w:rsidR="00C8502A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C8502A" w:rsidRPr="00C8502A">
        <w:rPr>
          <w:rFonts w:ascii="Century Gothic" w:eastAsia="Century Gothic" w:hAnsi="Century Gothic" w:cs="Century Gothic"/>
          <w:sz w:val="22"/>
          <w:szCs w:val="22"/>
        </w:rPr>
        <w:t>surtout chez patients avec insuff</w:t>
      </w:r>
      <w:r w:rsidR="00C8502A">
        <w:rPr>
          <w:rFonts w:ascii="Century Gothic" w:eastAsia="Century Gothic" w:hAnsi="Century Gothic" w:cs="Century Gothic"/>
          <w:sz w:val="22"/>
          <w:szCs w:val="22"/>
        </w:rPr>
        <w:t>isance rénale légère ou modérée</w:t>
      </w:r>
      <w:r w:rsidR="00C8502A"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Une dim</w:t>
      </w:r>
      <w:r w:rsidRPr="005E2A01">
        <w:rPr>
          <w:rFonts w:ascii="Century Gothic" w:eastAsia="Century Gothic" w:hAnsi="Century Gothic" w:cs="Century Gothic"/>
          <w:color w:val="000000"/>
          <w:sz w:val="22"/>
          <w:szCs w:val="22"/>
        </w:rPr>
        <w:t>inution de la dose peut s'avérer nécessaire.</w:t>
      </w:r>
      <w:r w:rsidR="00C8502A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</w:p>
    <w:p w:rsidR="00C8502A" w:rsidRDefault="00C8502A" w:rsidP="00C8502A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Solutions de rechange :</w:t>
      </w:r>
    </w:p>
    <w:p w:rsidR="00C8502A" w:rsidRPr="00C8502A" w:rsidRDefault="00C8502A" w:rsidP="00C8502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Warfarine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Coumadin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C8502A" w:rsidRPr="00C8502A" w:rsidRDefault="00C8502A" w:rsidP="00C8502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Héparine de faible poids moléculaire (HFPM) :_______________.</w:t>
      </w:r>
    </w:p>
    <w:p w:rsidR="00C8502A" w:rsidRDefault="00C8502A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E5598D" w:rsidRDefault="004D4205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+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cobicistat</w:t>
      </w:r>
      <w:proofErr w:type="spellEnd"/>
    </w:p>
    <w:p w:rsidR="00E5598D" w:rsidRDefault="004D4205">
      <w:pPr>
        <w:jc w:val="center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</w:rPr>
        <w:t>*Non recommandé*</w:t>
      </w:r>
    </w:p>
    <w:p w:rsidR="00E5598D" w:rsidRDefault="004D420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Si l’association avec le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ne peut être évité</w:t>
      </w:r>
      <w:r w:rsidR="00C8502A">
        <w:rPr>
          <w:rFonts w:ascii="Century Gothic" w:eastAsia="Century Gothic" w:hAnsi="Century Gothic" w:cs="Century Gothic"/>
          <w:color w:val="000000"/>
          <w:sz w:val="22"/>
          <w:szCs w:val="22"/>
        </w:rPr>
        <w:t>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que le risque de saignement est faible, conserver le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et exercer un suivi étroit de l’efficacité/innocuité.</w:t>
      </w:r>
    </w:p>
    <w:p w:rsidR="00E5598D" w:rsidRPr="005E2A01" w:rsidRDefault="004D420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Modifier la thérapie antirétrovirale pour une thérapie ne présentant  pas ce risque d’interaction médicamenteuse.</w:t>
      </w:r>
    </w:p>
    <w:p w:rsidR="005E2A01" w:rsidRDefault="005E2A01" w:rsidP="005E2A01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Solutions de rechange :</w:t>
      </w:r>
    </w:p>
    <w:p w:rsidR="005E2A01" w:rsidRPr="00C8502A" w:rsidRDefault="005E2A01" w:rsidP="005E2A0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Warfarine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Coumadin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5E2A01" w:rsidRPr="005E2A01" w:rsidRDefault="005E2A01" w:rsidP="005E2A0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Héparine de faible poids moléculaire (HFPM) :_______________.</w:t>
      </w:r>
    </w:p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  <w:u w:val="single"/>
        </w:rPr>
        <w:t>Suivi 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E5598D" w:rsidRDefault="004D42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Surveiller efficacité et effets indésirables (saignement : anémie, hématome, hématurie, épistaxis, troubles gastro-intestinaux, hémorragie digestive et urinaire) des anticoagulants.</w:t>
      </w:r>
    </w:p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5E2A01" w:rsidRDefault="005E2A01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  <w:u w:val="single"/>
        </w:rPr>
        <w:t>Suggestion de la pharmacie ou nouvelle prescription</w:t>
      </w: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E5598D">
        <w:tc>
          <w:tcPr>
            <w:tcW w:w="9396" w:type="dxa"/>
          </w:tcPr>
          <w:p w:rsidR="00E5598D" w:rsidRDefault="004D42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Date : _____/_____/_____</w:t>
            </w:r>
          </w:p>
          <w:p w:rsidR="00E5598D" w:rsidRDefault="004D42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Patient(e) : ________________________          DDN : _____/_____/_____</w:t>
            </w:r>
          </w:p>
          <w:p w:rsidR="00E5598D" w:rsidRDefault="004D42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 Téléphone : _____________________________</w:t>
            </w:r>
          </w:p>
        </w:tc>
      </w:tr>
      <w:tr w:rsidR="00E5598D">
        <w:tc>
          <w:tcPr>
            <w:tcW w:w="9396" w:type="dxa"/>
          </w:tcPr>
          <w:p w:rsidR="00E5598D" w:rsidRDefault="004D42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Rx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 : </w:t>
            </w:r>
          </w:p>
          <w:p w:rsidR="00E5598D" w:rsidRDefault="00E5598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E5598D" w:rsidRDefault="00E5598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E5598D" w:rsidRDefault="00E5598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E5598D" w:rsidRDefault="00E5598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E5598D" w:rsidRDefault="004D42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Ren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 : _____</w:t>
            </w:r>
          </w:p>
          <w:p w:rsidR="00E5598D" w:rsidRDefault="00E5598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E5598D" w:rsidRDefault="00E5598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E5598D" w:rsidRDefault="00E5598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:rsidR="00E5598D" w:rsidRDefault="004D42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Médecin : __________     Licence : __________    Signature : __________</w:t>
            </w:r>
          </w:p>
          <w:p w:rsidR="00E5598D" w:rsidRDefault="004D42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Adresse : ____________________________________________</w:t>
            </w:r>
          </w:p>
          <w:p w:rsidR="00E5598D" w:rsidRDefault="004D42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#Téléphone : ____________________     #Télécopieur : ________________</w:t>
            </w:r>
          </w:p>
        </w:tc>
      </w:tr>
      <w:tr w:rsidR="00E5598D">
        <w:tc>
          <w:tcPr>
            <w:tcW w:w="9396" w:type="dxa"/>
          </w:tcPr>
          <w:p w:rsidR="00E5598D" w:rsidRDefault="004D420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Certification du prescripteur </w:t>
            </w:r>
          </w:p>
          <w:p w:rsidR="00E5598D" w:rsidRDefault="004D420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Je certifie que : </w:t>
            </w:r>
          </w:p>
          <w:p w:rsidR="00E5598D" w:rsidRDefault="004D420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cette ordonnance est une ordonnance originale, </w:t>
            </w:r>
          </w:p>
          <w:p w:rsidR="00E5598D" w:rsidRDefault="004D420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 xml:space="preserve">le pharmacien identifié précité est le seul destinataire, </w:t>
            </w:r>
          </w:p>
          <w:p w:rsidR="00E5598D" w:rsidRDefault="004D420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l’original ne sera pas réutilisé.</w:t>
            </w:r>
          </w:p>
        </w:tc>
      </w:tr>
    </w:tbl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Veuillez svp nous faire parvenir une copie de cette page avec votre conduite à tenir. </w:t>
      </w:r>
    </w:p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Si vous avez besoin d’information complémentaire, n’hésitez pas à communiquer avec moi. </w:t>
      </w:r>
    </w:p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Cordialement, </w:t>
      </w:r>
    </w:p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Pharmacien(ne) 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Pharmacie : ____________________</w:t>
      </w: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#Téléphone : ____________________</w:t>
      </w:r>
      <w:r>
        <w:rPr>
          <w:rFonts w:ascii="Century Gothic" w:eastAsia="Century Gothic" w:hAnsi="Century Gothic" w:cs="Century Gothic"/>
          <w:sz w:val="22"/>
          <w:szCs w:val="22"/>
        </w:rPr>
        <w:tab/>
        <w:t>#Télécopieur : ____________________</w:t>
      </w:r>
    </w:p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E5598D" w:rsidRDefault="004D4205">
      <w:pPr>
        <w:rPr>
          <w:rFonts w:ascii="Century Gothic" w:eastAsia="Century Gothic" w:hAnsi="Century Gothic" w:cs="Century Gothic"/>
          <w:sz w:val="22"/>
          <w:szCs w:val="22"/>
        </w:rPr>
      </w:pPr>
      <w:r>
        <w:br w:type="page"/>
      </w: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>Références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 : </w:t>
      </w:r>
    </w:p>
    <w:p w:rsidR="00E5598D" w:rsidRDefault="004D42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Monographie :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Apixaban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Eliquis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), Pfizer, Québec, Canada. </w:t>
      </w:r>
      <w:r>
        <w:rPr>
          <w:rFonts w:ascii="Century Gothic" w:eastAsia="Century Gothic" w:hAnsi="Century Gothic" w:cs="Century Gothic"/>
          <w:sz w:val="22"/>
          <w:szCs w:val="22"/>
        </w:rPr>
        <w:t>23 octobre 2018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E5598D" w:rsidRDefault="004D4205" w:rsidP="00717E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color w:val="262626"/>
          <w:sz w:val="22"/>
          <w:szCs w:val="22"/>
        </w:rPr>
        <w:t xml:space="preserve">Monographie :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Elvitégravir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emtricitabine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ténofovir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disoproxil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fumarate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Stribild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)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Gilead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Sciences, Ontario, Canada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. </w:t>
      </w:r>
      <w:r w:rsidR="00717EA5" w:rsidRPr="00717EA5">
        <w:rPr>
          <w:rFonts w:ascii="Century Gothic" w:eastAsia="Century Gothic" w:hAnsi="Century Gothic" w:cs="Century Gothic"/>
          <w:color w:val="000000"/>
          <w:sz w:val="22"/>
          <w:szCs w:val="22"/>
        </w:rPr>
        <w:t>26 juillet 2021</w:t>
      </w:r>
      <w:bookmarkStart w:id="0" w:name="_GoBack"/>
      <w:bookmarkEnd w:id="0"/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E5598D" w:rsidRPr="0026158D" w:rsidRDefault="004D42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Frost C, Wang J, Nepal S et al. Effect of ketoconazole and diltiazem on the pharmacokinetics of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apixaban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, an oral direct factor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Xa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inhibitor. </w:t>
      </w:r>
      <w:r w:rsidRPr="0026158D">
        <w:rPr>
          <w:rFonts w:ascii="Century Gothic" w:eastAsia="Century Gothic" w:hAnsi="Century Gothic" w:cs="Century Gothic"/>
          <w:i/>
          <w:color w:val="000000"/>
          <w:sz w:val="22"/>
          <w:szCs w:val="22"/>
          <w:lang w:val="en-CA"/>
        </w:rPr>
        <w:t xml:space="preserve">J </w:t>
      </w:r>
      <w:proofErr w:type="spellStart"/>
      <w:r w:rsidRPr="0026158D">
        <w:rPr>
          <w:rFonts w:ascii="Century Gothic" w:eastAsia="Century Gothic" w:hAnsi="Century Gothic" w:cs="Century Gothic"/>
          <w:i/>
          <w:color w:val="000000"/>
          <w:sz w:val="22"/>
          <w:szCs w:val="22"/>
          <w:lang w:val="en-CA"/>
        </w:rPr>
        <w:t>Clin</w:t>
      </w:r>
      <w:proofErr w:type="spellEnd"/>
      <w:r w:rsidRPr="0026158D">
        <w:rPr>
          <w:rFonts w:ascii="Century Gothic" w:eastAsia="Century Gothic" w:hAnsi="Century Gothic" w:cs="Century Gothic"/>
          <w:i/>
          <w:color w:val="000000"/>
          <w:sz w:val="22"/>
          <w:szCs w:val="22"/>
          <w:lang w:val="en-CA"/>
        </w:rPr>
        <w:t xml:space="preserve"> </w:t>
      </w:r>
      <w:proofErr w:type="spellStart"/>
      <w:r w:rsidRPr="0026158D">
        <w:rPr>
          <w:rFonts w:ascii="Century Gothic" w:eastAsia="Century Gothic" w:hAnsi="Century Gothic" w:cs="Century Gothic"/>
          <w:i/>
          <w:color w:val="000000"/>
          <w:sz w:val="22"/>
          <w:szCs w:val="22"/>
          <w:lang w:val="en-CA"/>
        </w:rPr>
        <w:t>Pharmacol</w:t>
      </w:r>
      <w:proofErr w:type="spellEnd"/>
      <w:r w:rsidRPr="0026158D">
        <w:rPr>
          <w:rFonts w:ascii="Century Gothic" w:eastAsia="Century Gothic" w:hAnsi="Century Gothic" w:cs="Century Gothic"/>
          <w:i/>
          <w:color w:val="000000"/>
          <w:sz w:val="22"/>
          <w:szCs w:val="22"/>
          <w:lang w:val="en-CA"/>
        </w:rPr>
        <w:t>.</w:t>
      </w:r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2009; 49:1091–1130. </w:t>
      </w:r>
    </w:p>
    <w:p w:rsidR="00E5598D" w:rsidRDefault="004D42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Egan G, Hughes CA, Ackman ML. Drug interactions between antiplatelet or novel anticoagulant medications and antiretroviral medications. Ann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Pharmacother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. 2014.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June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; 48 (6): 734-40. </w:t>
      </w:r>
    </w:p>
    <w:p w:rsidR="00E5598D" w:rsidRPr="0026158D" w:rsidRDefault="004D42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Apixaban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(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Eliquis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) Prescribing Information, Bristol-Myers Squibb - Pfizer, New Jersey - New York, USA, July 2016.</w:t>
      </w:r>
    </w:p>
    <w:p w:rsidR="00E5598D" w:rsidRDefault="004D4205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ind w:left="714" w:hanging="357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Bleeding with dabigatran, rivaroxaban,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apixaban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. No </w:t>
      </w:r>
      <w:proofErr w:type="gram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antidote,</w:t>
      </w:r>
      <w:proofErr w:type="gram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and little clinical experience. </w:t>
      </w:r>
      <w:r>
        <w:rPr>
          <w:rFonts w:ascii="Century Gothic" w:eastAsia="Century Gothic" w:hAnsi="Century Gothic" w:cs="Century Gothic"/>
          <w:sz w:val="22"/>
          <w:szCs w:val="22"/>
        </w:rPr>
        <w:t>Prescrire Int. 2013 Jun; 22 (139): 155-9.</w:t>
      </w:r>
    </w:p>
    <w:p w:rsidR="00E5598D" w:rsidRDefault="004D4205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ind w:left="714" w:hanging="357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: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Rivaroxaban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Xarelto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), Bayer, Ontario, Canada, 13 sept 2018. </w:t>
      </w:r>
    </w:p>
    <w:p w:rsidR="00E5598D" w:rsidRDefault="004D42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Mueck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W,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Kubitza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D,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Becka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M. Co-administration of rivaroxaban with drugs that share its elimination pathways: pharmacokinetic effects in healthy subjects.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Br J Clin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Pharmacol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. 2013 Sep; 76 (3): 455-66. </w:t>
      </w:r>
    </w:p>
    <w:p w:rsidR="00E5598D" w:rsidRDefault="004D4205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Lakatos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B,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Stoeckle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M,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Elzi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L, et al. Gastrointestinal bleeding associated with rivaroxaban administration in a treated patient infected with human immunodeficiency virus.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Swiss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medical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weekly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2014; 144: w13906.</w:t>
      </w:r>
    </w:p>
    <w:p w:rsidR="00E5598D" w:rsidRDefault="004D4205" w:rsidP="0075055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: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Pradaxa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),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Boehringer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Ingelheim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Canada Ltd., Ontario, Canada, </w:t>
      </w:r>
      <w:r w:rsidR="00750559" w:rsidRPr="00750559">
        <w:rPr>
          <w:rFonts w:ascii="Century Gothic" w:eastAsia="Century Gothic" w:hAnsi="Century Gothic" w:cs="Century Gothic"/>
          <w:sz w:val="22"/>
          <w:szCs w:val="22"/>
        </w:rPr>
        <w:t>23 mars 2020</w:t>
      </w:r>
      <w:r w:rsidR="003A0C80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E5598D" w:rsidRDefault="004D42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Horn J,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Hansten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P. Dabigatran: a new oral anticoagulant.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Pharm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times. 2010; 10: 59.</w:t>
      </w:r>
    </w:p>
    <w:p w:rsidR="00E5598D" w:rsidRPr="0026158D" w:rsidRDefault="004D42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Hartter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S,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Sennewald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R, et al. Oral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bioavailibility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of dabigatran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etexilate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(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Pradaxa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) after co-medication with verapamil in healthy subjects. Br J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Clin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Pharmacol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. 2013 Apr; 75 (4): 1053-62. </w:t>
      </w:r>
    </w:p>
    <w:p w:rsidR="00E5598D" w:rsidRPr="0026158D" w:rsidRDefault="004D420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Barco S, Coppens M, van den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Dool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EJ, et al. Successful co-administration of dabigatran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etexilate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and protease inhibitors ritonavir/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lopinavir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in a patient with atrial fibrillation.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Thromb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Haemost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2014 Oct;112(4):836-8</w:t>
      </w:r>
    </w:p>
    <w:p w:rsidR="00E5598D" w:rsidRDefault="004D420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1" w:name="_jdqye1bh1asf" w:colFirst="0" w:colLast="0"/>
      <w:bookmarkEnd w:id="1"/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Perram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J, Joseph J, Holloway C. Novel oral anticoagulants and HIV: dabigatran use with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antiretrovirals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.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BMJ Case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Rep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. 2015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Nov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20.</w:t>
      </w:r>
    </w:p>
    <w:p w:rsidR="00E5598D" w:rsidRPr="0026158D" w:rsidRDefault="004D420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bookmarkStart w:id="2" w:name="_n3opyxtl2fo1" w:colFirst="0" w:colLast="0"/>
      <w:bookmarkEnd w:id="2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Kumar P, Gordon LA, Brooks KM, George JM, Kellogg A et al. Differential influence of the antiretroviral pharmacokinetic enhancers ritonavir and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cobicistat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on intestinal P-glycoprotein transport and the pharmacokinetic/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pharmacodynamic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disposition of dabigatran.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Antimicrob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Agents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Chemother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. 2017 Oct 24; 61(11).</w:t>
      </w:r>
    </w:p>
    <w:p w:rsidR="00E5598D" w:rsidRPr="0026158D" w:rsidRDefault="004D420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bookmarkStart w:id="3" w:name="_ui1mhrav892" w:colFirst="0" w:colLast="0"/>
      <w:bookmarkEnd w:id="3"/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Kakadiva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PP, Higginson RT and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Fulco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PP. Ritonavir-Boosted Protease Inhibitors but Not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Cobicistat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Appear Safe in HIV-Positive Patients Ingesting Dabigatran.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Antimicrob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agents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Chemother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2018 Jan 25; 62(2).</w:t>
      </w:r>
    </w:p>
    <w:p w:rsidR="00E5598D" w:rsidRDefault="004D4205" w:rsidP="0026158D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4" w:name="_4nnidxc3uttw" w:colFirst="0" w:colLast="0"/>
      <w:bookmarkEnd w:id="4"/>
      <w:r>
        <w:rPr>
          <w:rFonts w:ascii="Century Gothic" w:eastAsia="Century Gothic" w:hAnsi="Century Gothic" w:cs="Century Gothic"/>
          <w:sz w:val="22"/>
          <w:szCs w:val="22"/>
        </w:rPr>
        <w:t xml:space="preserve">Monographie :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Edoxaban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Lixiana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),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Servier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Québec, Canada, </w:t>
      </w:r>
      <w:r w:rsidR="0026158D" w:rsidRPr="0026158D">
        <w:rPr>
          <w:rFonts w:ascii="Century Gothic" w:eastAsia="Century Gothic" w:hAnsi="Century Gothic" w:cs="Century Gothic"/>
          <w:sz w:val="22"/>
          <w:szCs w:val="22"/>
        </w:rPr>
        <w:t>12 février 2020</w:t>
      </w:r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26158D" w:rsidRDefault="0026158D" w:rsidP="0026158D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américaine :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Edoxaban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</w:rPr>
        <w:t>Savaysa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</w:rPr>
        <w:t xml:space="preserve">),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</w:rPr>
        <w:t>Prescribing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</w:rPr>
        <w:t xml:space="preserve"> Information,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</w:rPr>
        <w:t>Daiichi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</w:rPr>
        <w:t>Sankyo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</w:rPr>
        <w:t xml:space="preserve"> Inc. NJ USA, April 2020</w:t>
      </w:r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E5598D" w:rsidRDefault="004D4205" w:rsidP="00717EA5">
      <w:pPr>
        <w:numPr>
          <w:ilvl w:val="0"/>
          <w:numId w:val="10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color w:val="262626"/>
          <w:sz w:val="22"/>
          <w:szCs w:val="22"/>
        </w:rPr>
        <w:t xml:space="preserve">Monographie :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Elvitégravir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emtricitabine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ténofovir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alafénamide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Genvoya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)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Gilead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Sciences, Ontario, Canada. </w:t>
      </w:r>
      <w:r w:rsidR="00717EA5" w:rsidRPr="00717EA5">
        <w:rPr>
          <w:rFonts w:ascii="Century Gothic" w:eastAsia="Century Gothic" w:hAnsi="Century Gothic" w:cs="Century Gothic"/>
          <w:sz w:val="22"/>
          <w:szCs w:val="22"/>
        </w:rPr>
        <w:t>6 août 2021</w:t>
      </w:r>
      <w:r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E5598D" w:rsidRDefault="004D420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5" w:name="_mskpvifi9um4" w:colFirst="0" w:colLast="0"/>
      <w:bookmarkEnd w:id="5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Monographies des inhibiteurs de la protéase consultées en 20</w:t>
      </w:r>
      <w:r w:rsidR="00750559">
        <w:rPr>
          <w:rFonts w:ascii="Century Gothic" w:eastAsia="Century Gothic" w:hAnsi="Century Gothic" w:cs="Century Gothic"/>
          <w:color w:val="000000"/>
          <w:sz w:val="22"/>
          <w:szCs w:val="22"/>
        </w:rPr>
        <w:t>22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E5598D" w:rsidRPr="0026158D" w:rsidRDefault="004D4205" w:rsidP="0026158D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ind w:left="714" w:hanging="357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Guide thérapeutique VIH. [En ligne]. Disponible : </w:t>
      </w:r>
      <w:hyperlink r:id="rId8">
        <w:r>
          <w:rPr>
            <w:rFonts w:ascii="Century Gothic" w:eastAsia="Century Gothic" w:hAnsi="Century Gothic" w:cs="Century Gothic"/>
            <w:color w:val="0563C1"/>
            <w:sz w:val="22"/>
            <w:szCs w:val="22"/>
            <w:u w:val="single"/>
          </w:rPr>
          <w:t>http://www.guidetherapeutiquevih.com</w:t>
        </w:r>
      </w:hyperlink>
    </w:p>
    <w:sectPr w:rsidR="00E5598D" w:rsidRPr="0026158D">
      <w:footerReference w:type="default" r:id="rId9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BB1" w:rsidRDefault="00AF4BB1">
      <w:r>
        <w:separator/>
      </w:r>
    </w:p>
  </w:endnote>
  <w:endnote w:type="continuationSeparator" w:id="0">
    <w:p w:rsidR="00AF4BB1" w:rsidRDefault="00AF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98D" w:rsidRDefault="00AF4B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hyperlink r:id="rId1">
      <w:r w:rsidR="004D4205">
        <w:rPr>
          <w:color w:val="0563C1"/>
          <w:u w:val="single"/>
        </w:rPr>
        <w:t>www.guidetherapeutiquevih.com</w:t>
      </w:r>
    </w:hyperlink>
    <w:r w:rsidR="004D4205">
      <w:t xml:space="preserve">                                                                            </w:t>
    </w:r>
    <w:r w:rsidR="00750559">
      <w:t>Mars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BB1" w:rsidRDefault="00AF4BB1">
      <w:r>
        <w:separator/>
      </w:r>
    </w:p>
  </w:footnote>
  <w:footnote w:type="continuationSeparator" w:id="0">
    <w:p w:rsidR="00AF4BB1" w:rsidRDefault="00AF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30D"/>
    <w:multiLevelType w:val="multilevel"/>
    <w:tmpl w:val="FD289DF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8F287E"/>
    <w:multiLevelType w:val="multilevel"/>
    <w:tmpl w:val="2C88D01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D24971"/>
    <w:multiLevelType w:val="multilevel"/>
    <w:tmpl w:val="549A0D5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634030"/>
    <w:multiLevelType w:val="multilevel"/>
    <w:tmpl w:val="66F4FC6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E4E3C62"/>
    <w:multiLevelType w:val="multilevel"/>
    <w:tmpl w:val="82C2E92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4A626CB"/>
    <w:multiLevelType w:val="multilevel"/>
    <w:tmpl w:val="CF4E5BD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F569C"/>
    <w:multiLevelType w:val="multilevel"/>
    <w:tmpl w:val="C7B04D7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2B26C1E"/>
    <w:multiLevelType w:val="multilevel"/>
    <w:tmpl w:val="03ECD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DFE4721"/>
    <w:multiLevelType w:val="multilevel"/>
    <w:tmpl w:val="1DA2211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F8F6354"/>
    <w:multiLevelType w:val="multilevel"/>
    <w:tmpl w:val="D31C8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598D"/>
    <w:rsid w:val="001C2957"/>
    <w:rsid w:val="0026158D"/>
    <w:rsid w:val="002E23ED"/>
    <w:rsid w:val="003A0C80"/>
    <w:rsid w:val="004D4205"/>
    <w:rsid w:val="0052305E"/>
    <w:rsid w:val="005C2E15"/>
    <w:rsid w:val="005E2A01"/>
    <w:rsid w:val="006747A2"/>
    <w:rsid w:val="006F3ABC"/>
    <w:rsid w:val="00717EA5"/>
    <w:rsid w:val="00750559"/>
    <w:rsid w:val="00814EA0"/>
    <w:rsid w:val="00854D78"/>
    <w:rsid w:val="009370E6"/>
    <w:rsid w:val="00995923"/>
    <w:rsid w:val="00AF4BB1"/>
    <w:rsid w:val="00C8502A"/>
    <w:rsid w:val="00D529AE"/>
    <w:rsid w:val="00D6581A"/>
    <w:rsid w:val="00E5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158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6158D"/>
  </w:style>
  <w:style w:type="paragraph" w:styleId="Pieddepage">
    <w:name w:val="footer"/>
    <w:basedOn w:val="Normal"/>
    <w:link w:val="PieddepageCar"/>
    <w:uiPriority w:val="99"/>
    <w:unhideWhenUsed/>
    <w:rsid w:val="0026158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158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6158D"/>
  </w:style>
  <w:style w:type="paragraph" w:styleId="Pieddepage">
    <w:name w:val="footer"/>
    <w:basedOn w:val="Normal"/>
    <w:link w:val="PieddepageCar"/>
    <w:uiPriority w:val="99"/>
    <w:unhideWhenUsed/>
    <w:rsid w:val="0026158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detherapeutiquevih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1400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Pichette</dc:creator>
  <cp:lastModifiedBy>Claude</cp:lastModifiedBy>
  <cp:revision>3</cp:revision>
  <dcterms:created xsi:type="dcterms:W3CDTF">2022-02-09T08:22:00Z</dcterms:created>
  <dcterms:modified xsi:type="dcterms:W3CDTF">2022-02-09T08:23:00Z</dcterms:modified>
</cp:coreProperties>
</file>