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42" w:rsidRDefault="007B08B5">
      <w:pPr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Opinion pharmaceutique </w:t>
      </w:r>
    </w:p>
    <w:p w:rsidR="00B70A42" w:rsidRDefault="00B70A42">
      <w:pPr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B70A42" w:rsidRDefault="007B08B5">
      <w:pPr>
        <w:jc w:val="center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Interaction entre les </w:t>
      </w:r>
      <w:r w:rsidR="007F22F0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inhibiteurs de la pompe à protons (IPP)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 et </w:t>
      </w:r>
      <w:r w:rsidR="007F22F0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la </w:t>
      </w:r>
      <w:proofErr w:type="spellStart"/>
      <w:r w:rsidR="007F22F0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rilpivirine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 (</w:t>
      </w:r>
      <w:proofErr w:type="spellStart"/>
      <w:r w:rsidR="007F22F0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Edurant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, </w:t>
      </w:r>
      <w:proofErr w:type="spellStart"/>
      <w:r w:rsidR="007F22F0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Complera</w:t>
      </w:r>
      <w:proofErr w:type="spellEnd"/>
      <w:r w:rsidR="007F22F0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, </w:t>
      </w:r>
      <w:proofErr w:type="spellStart"/>
      <w:r w:rsidR="007F22F0"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Odefsey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 et </w:t>
      </w:r>
      <w:proofErr w:type="spellStart"/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Juluca</w:t>
      </w:r>
      <w:proofErr w:type="spellEnd"/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)</w:t>
      </w:r>
    </w:p>
    <w:p w:rsidR="00B70A42" w:rsidRDefault="00B70A42">
      <w:pPr>
        <w:jc w:val="center"/>
        <w:rPr>
          <w:rFonts w:ascii="Century Gothic" w:eastAsia="Century Gothic" w:hAnsi="Century Gothic" w:cs="Century Gothic"/>
        </w:rPr>
      </w:pPr>
    </w:p>
    <w:p w:rsidR="00B70A42" w:rsidRDefault="00B70A42">
      <w:pPr>
        <w:jc w:val="center"/>
        <w:rPr>
          <w:rFonts w:ascii="Century Gothic" w:eastAsia="Century Gothic" w:hAnsi="Century Gothic" w:cs="Century Gothic"/>
        </w:rPr>
      </w:pPr>
    </w:p>
    <w:p w:rsidR="00B70A42" w:rsidRDefault="007B08B5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Patient(e) : _________________________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DDN : _____/_____/_____</w:t>
      </w:r>
    </w:p>
    <w:p w:rsidR="00B70A42" w:rsidRDefault="00B70A42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B70A42" w:rsidRDefault="007B08B5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Après avoir analysé le dossier de votre patient(e), j’ai relevé un problème relié à sa pharmacothérapie. </w:t>
      </w:r>
    </w:p>
    <w:p w:rsidR="00B70A42" w:rsidRDefault="00B70A42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B70A42" w:rsidRDefault="007B08B5">
      <w:pPr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Interaction entre : </w:t>
      </w:r>
    </w:p>
    <w:p w:rsidR="000F5795" w:rsidRDefault="000F5795" w:rsidP="000F57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Oméprazole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Losec</w:t>
      </w:r>
      <w:proofErr w:type="spellEnd"/>
      <w:r w:rsidR="005643F4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, </w:t>
      </w:r>
      <w:proofErr w:type="spellStart"/>
      <w:r w:rsidR="005643F4">
        <w:rPr>
          <w:rFonts w:ascii="Century Gothic" w:eastAsia="Century Gothic" w:hAnsi="Century Gothic" w:cs="Century Gothic"/>
          <w:color w:val="000000"/>
          <w:sz w:val="22"/>
          <w:szCs w:val="22"/>
        </w:rPr>
        <w:t>Olex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0F5795" w:rsidRPr="000F5795" w:rsidRDefault="000F5795" w:rsidP="000F57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Dexlansopraxole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Dexilant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0F5795" w:rsidRPr="000F5795" w:rsidRDefault="000F5795" w:rsidP="000F57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Esoméprazole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Nexium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0F5795" w:rsidRPr="000F5795" w:rsidRDefault="000F5795" w:rsidP="000F57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Lansoprazole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Prevacid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0F5795" w:rsidRPr="000F5795" w:rsidRDefault="000F5795" w:rsidP="000F57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Pantoprazole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Pantoloc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0F5795" w:rsidRPr="007F22F0" w:rsidRDefault="000F5795" w:rsidP="000F579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Rabéprazole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Pariet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B70A42" w:rsidRDefault="007B08B5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Et </w:t>
      </w:r>
    </w:p>
    <w:p w:rsidR="00B70A42" w:rsidRDefault="007F22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Rilpivirine</w:t>
      </w:r>
      <w:proofErr w:type="spellEnd"/>
      <w:r w:rsidR="007B08B5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Edurant</w:t>
      </w:r>
      <w:proofErr w:type="spellEnd"/>
      <w:r w:rsidR="007B08B5"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B70A42" w:rsidRPr="007F22F0" w:rsidRDefault="007F22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Rilpivirine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Emtricitabine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Ténofovir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DF</w:t>
      </w:r>
      <w:r w:rsidR="007B08B5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Complera</w:t>
      </w:r>
      <w:proofErr w:type="spellEnd"/>
      <w:r w:rsidR="007B08B5"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7F22F0" w:rsidRDefault="007F22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Rilpivirine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Emtricitabine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Ténofovir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alafénamide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(</w:t>
      </w:r>
      <w:proofErr w:type="spellStart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Odefsey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>)</w:t>
      </w:r>
    </w:p>
    <w:p w:rsidR="00B70A42" w:rsidRDefault="007F22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Rilpivirine</w:t>
      </w:r>
      <w:proofErr w:type="spellEnd"/>
      <w:r w:rsidR="007B08B5"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r w:rsidR="007B08B5">
        <w:rPr>
          <w:rFonts w:ascii="Century Gothic" w:eastAsia="Century Gothic" w:hAnsi="Century Gothic" w:cs="Century Gothic"/>
          <w:sz w:val="22"/>
          <w:szCs w:val="22"/>
        </w:rPr>
        <w:t>(</w:t>
      </w:r>
      <w:proofErr w:type="spellStart"/>
      <w:r w:rsidR="007B08B5">
        <w:rPr>
          <w:rFonts w:ascii="Century Gothic" w:eastAsia="Century Gothic" w:hAnsi="Century Gothic" w:cs="Century Gothic"/>
          <w:sz w:val="22"/>
          <w:szCs w:val="22"/>
        </w:rPr>
        <w:t>Juluca</w:t>
      </w:r>
      <w:proofErr w:type="spellEnd"/>
      <w:r w:rsidR="007B08B5">
        <w:rPr>
          <w:rFonts w:ascii="Century Gothic" w:eastAsia="Century Gothic" w:hAnsi="Century Gothic" w:cs="Century Gothic"/>
          <w:sz w:val="22"/>
          <w:szCs w:val="22"/>
        </w:rPr>
        <w:t>)</w:t>
      </w:r>
    </w:p>
    <w:p w:rsidR="00B70A42" w:rsidRDefault="00B70A42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B70A42" w:rsidRDefault="007B08B5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Une 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↓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de l’efficacité clinique </w:t>
      </w:r>
      <w:r w:rsidR="007F22F0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de la </w:t>
      </w:r>
      <w:proofErr w:type="spellStart"/>
      <w:r w:rsidR="007F22F0">
        <w:rPr>
          <w:rFonts w:ascii="Century Gothic" w:eastAsia="Century Gothic" w:hAnsi="Century Gothic" w:cs="Century Gothic"/>
          <w:color w:val="000000"/>
          <w:sz w:val="22"/>
          <w:szCs w:val="22"/>
        </w:rPr>
        <w:t>rilpivirine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peut survenir lors de l’administration avec un </w:t>
      </w:r>
      <w:r w:rsidR="007F22F0">
        <w:rPr>
          <w:rFonts w:ascii="Century Gothic" w:eastAsia="Century Gothic" w:hAnsi="Century Gothic" w:cs="Century Gothic"/>
          <w:color w:val="000000"/>
          <w:sz w:val="22"/>
          <w:szCs w:val="22"/>
        </w:rPr>
        <w:t>inhibiteur de la pompe à protons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(</w:t>
      </w:r>
      <w:proofErr w:type="spellStart"/>
      <w:r w:rsidR="007F22F0">
        <w:rPr>
          <w:rFonts w:ascii="Century Gothic" w:eastAsia="Century Gothic" w:hAnsi="Century Gothic" w:cs="Century Gothic"/>
          <w:color w:val="000000"/>
          <w:sz w:val="22"/>
          <w:szCs w:val="22"/>
        </w:rPr>
        <w:t>Oméprazole</w:t>
      </w:r>
      <w:proofErr w:type="spellEnd"/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, etc.). Voici pourquoi </w:t>
      </w:r>
      <w:r>
        <w:rPr>
          <w:rFonts w:ascii="Century Gothic" w:eastAsia="Century Gothic" w:hAnsi="Century Gothic" w:cs="Century Gothic"/>
          <w:color w:val="000000"/>
          <w:sz w:val="22"/>
          <w:szCs w:val="22"/>
          <w:vertAlign w:val="superscript"/>
        </w:rPr>
        <w:t>1-</w:t>
      </w:r>
      <w:r w:rsidR="00CD0D19">
        <w:rPr>
          <w:rFonts w:ascii="Century Gothic" w:eastAsia="Century Gothic" w:hAnsi="Century Gothic" w:cs="Century Gothic"/>
          <w:sz w:val="22"/>
          <w:szCs w:val="22"/>
          <w:vertAlign w:val="superscript"/>
        </w:rPr>
        <w:t>6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 :</w:t>
      </w:r>
    </w:p>
    <w:p w:rsidR="00B70A42" w:rsidRPr="00273F65" w:rsidRDefault="007B08B5" w:rsidP="00273F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Les </w:t>
      </w:r>
      <w:r w:rsidR="000F5795">
        <w:rPr>
          <w:rFonts w:ascii="Century Gothic" w:eastAsia="Century Gothic" w:hAnsi="Century Gothic" w:cs="Century Gothic"/>
          <w:color w:val="000000"/>
          <w:sz w:val="22"/>
          <w:szCs w:val="22"/>
        </w:rPr>
        <w:t>inhibiteurs de la pompe à protons, en augmentant le Ph gastrique,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peu</w:t>
      </w:r>
      <w:r w:rsidR="000F5795">
        <w:rPr>
          <w:rFonts w:ascii="Century Gothic" w:eastAsia="Century Gothic" w:hAnsi="Century Gothic" w:cs="Century Gothic"/>
          <w:color w:val="000000"/>
          <w:sz w:val="22"/>
          <w:szCs w:val="22"/>
        </w:rPr>
        <w:t>ven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t 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↓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r w:rsidR="000F5795">
        <w:rPr>
          <w:rFonts w:ascii="Century Gothic" w:eastAsia="Century Gothic" w:hAnsi="Century Gothic" w:cs="Century Gothic"/>
          <w:color w:val="000000"/>
          <w:sz w:val="22"/>
          <w:szCs w:val="22"/>
        </w:rPr>
        <w:t>la solubilité</w:t>
      </w:r>
      <w:r w:rsidR="00273F65">
        <w:rPr>
          <w:rFonts w:ascii="Century Gothic" w:eastAsia="Century Gothic" w:hAnsi="Century Gothic" w:cs="Century Gothic"/>
          <w:color w:val="000000"/>
          <w:sz w:val="22"/>
          <w:szCs w:val="22"/>
        </w:rPr>
        <w:t>,</w:t>
      </w:r>
      <w:r w:rsidR="000F5795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l’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absorption</w:t>
      </w:r>
      <w:r w:rsidR="00273F65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et la concentration plasmatique</w:t>
      </w:r>
      <w:r w:rsidR="000F5795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de la </w:t>
      </w:r>
      <w:proofErr w:type="spellStart"/>
      <w:r w:rsidR="000F5795">
        <w:rPr>
          <w:rFonts w:ascii="Century Gothic" w:eastAsia="Century Gothic" w:hAnsi="Century Gothic" w:cs="Century Gothic"/>
          <w:color w:val="000000"/>
          <w:sz w:val="22"/>
          <w:szCs w:val="22"/>
        </w:rPr>
        <w:t>rilpivirine</w:t>
      </w:r>
      <w:proofErr w:type="spellEnd"/>
      <w:r w:rsidR="00273F65"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r w:rsidR="00273F65">
        <w:rPr>
          <w:rFonts w:ascii="Century Gothic" w:eastAsia="Century Gothic" w:hAnsi="Century Gothic" w:cs="Century Gothic"/>
          <w:color w:val="000000"/>
          <w:sz w:val="22"/>
          <w:szCs w:val="22"/>
        </w:rPr>
        <w:t>Il peut en résulter une perte de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</w:t>
      </w:r>
      <w:r w:rsidR="00273F65">
        <w:rPr>
          <w:rFonts w:ascii="Century Gothic" w:eastAsia="Century Gothic" w:hAnsi="Century Gothic" w:cs="Century Gothic"/>
          <w:color w:val="000000"/>
          <w:sz w:val="22"/>
          <w:szCs w:val="22"/>
        </w:rPr>
        <w:t>l’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efficacité clinique</w:t>
      </w:r>
      <w:r w:rsidR="00273F65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de la </w:t>
      </w:r>
      <w:proofErr w:type="spellStart"/>
      <w:r w:rsidR="00273F65">
        <w:rPr>
          <w:rFonts w:ascii="Century Gothic" w:eastAsia="Century Gothic" w:hAnsi="Century Gothic" w:cs="Century Gothic"/>
          <w:color w:val="000000"/>
          <w:sz w:val="22"/>
          <w:szCs w:val="22"/>
        </w:rPr>
        <w:t>rilpivirine</w:t>
      </w:r>
      <w:proofErr w:type="spellEnd"/>
      <w:r w:rsidR="00273F65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et </w:t>
      </w:r>
      <w:r w:rsidR="00273F65" w:rsidRPr="00273F65">
        <w:rPr>
          <w:rFonts w:ascii="Century Gothic" w:eastAsia="Century Gothic" w:hAnsi="Century Gothic" w:cs="Century Gothic"/>
          <w:color w:val="000000"/>
          <w:sz w:val="22"/>
          <w:szCs w:val="22"/>
        </w:rPr>
        <w:t>ainsi que le développement possible d’une</w:t>
      </w:r>
      <w:r w:rsidR="00273F65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résistance à la </w:t>
      </w:r>
      <w:proofErr w:type="spellStart"/>
      <w:r w:rsidR="00273F65">
        <w:rPr>
          <w:rFonts w:ascii="Century Gothic" w:eastAsia="Century Gothic" w:hAnsi="Century Gothic" w:cs="Century Gothic"/>
          <w:color w:val="000000"/>
          <w:sz w:val="22"/>
          <w:szCs w:val="22"/>
        </w:rPr>
        <w:t>rilpivirine</w:t>
      </w:r>
      <w:proofErr w:type="spellEnd"/>
      <w:r w:rsidR="00273F65"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 et à d’autres INNTI</w:t>
      </w:r>
      <w:r w:rsidRPr="00273F65">
        <w:rPr>
          <w:rFonts w:ascii="Century Gothic" w:eastAsia="Century Gothic" w:hAnsi="Century Gothic" w:cs="Century Gothic"/>
          <w:color w:val="000000"/>
          <w:sz w:val="22"/>
          <w:szCs w:val="22"/>
        </w:rPr>
        <w:t>.</w:t>
      </w:r>
    </w:p>
    <w:p w:rsidR="00B70A42" w:rsidRDefault="00B70A42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B70A42" w:rsidRDefault="007B08B5">
      <w:pPr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Pour de plus amples informations, voici l’étude évaluant l’interaction ci-haut :</w:t>
      </w:r>
    </w:p>
    <w:p w:rsidR="00273F65" w:rsidRDefault="00273F65" w:rsidP="00273F65">
      <w:pPr>
        <w:widowControl w:val="0"/>
        <w:numPr>
          <w:ilvl w:val="0"/>
          <w:numId w:val="8"/>
        </w:numP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Rilpivirine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+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oméprazole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: ↓ de 40% de la surface sous la courbe (SCC) et de la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Cmax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et ↓ de 33% de la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Cmin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de la rilpivirine.</w:t>
      </w:r>
      <w:r w:rsidR="005643F4">
        <w:rPr>
          <w:rFonts w:ascii="Century Gothic" w:eastAsia="Century Gothic" w:hAnsi="Century Gothic" w:cs="Century Gothic"/>
          <w:sz w:val="22"/>
          <w:szCs w:val="22"/>
          <w:vertAlign w:val="superscript"/>
        </w:rPr>
        <w:t>1-</w:t>
      </w:r>
      <w:r w:rsidR="00CD0D19">
        <w:rPr>
          <w:rFonts w:ascii="Century Gothic" w:eastAsia="Century Gothic" w:hAnsi="Century Gothic" w:cs="Century Gothic"/>
          <w:sz w:val="22"/>
          <w:szCs w:val="22"/>
          <w:vertAlign w:val="superscript"/>
        </w:rPr>
        <w:t>6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 L’association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rilpivirine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et IPP est contre-indiquée.</w:t>
      </w:r>
    </w:p>
    <w:p w:rsidR="00B70A42" w:rsidRDefault="00B70A42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  <w:u w:val="single"/>
        </w:rPr>
      </w:pPr>
    </w:p>
    <w:p w:rsidR="00B70A42" w:rsidRDefault="007B08B5">
      <w:pPr>
        <w:jc w:val="both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Options thérapeutiques possibles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  <w:vertAlign w:val="superscript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 xml:space="preserve">: </w:t>
      </w:r>
    </w:p>
    <w:p w:rsidR="00273F65" w:rsidRDefault="00273F65" w:rsidP="00273F65">
      <w:pPr>
        <w:widowControl w:val="0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Rilpivirine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est contre-indiquée avec les inhibiteurs de la pompe à protons mentionnés ci-haut.</w:t>
      </w:r>
    </w:p>
    <w:p w:rsidR="00273F65" w:rsidRDefault="00273F65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B70A42" w:rsidRDefault="007B08B5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Century Gothic" w:eastAsia="Century Gothic" w:hAnsi="Century Gothic" w:cs="Century Gothic"/>
          <w:i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i/>
          <w:color w:val="000000"/>
          <w:sz w:val="22"/>
          <w:szCs w:val="22"/>
        </w:rPr>
        <w:t>Solution de rechange</w:t>
      </w:r>
      <w:r>
        <w:rPr>
          <w:rFonts w:ascii="Century Gothic" w:eastAsia="Century Gothic" w:hAnsi="Century Gothic" w:cs="Century Gothic"/>
          <w:i/>
          <w:sz w:val="22"/>
          <w:szCs w:val="22"/>
        </w:rPr>
        <w:t xml:space="preserve"> : </w:t>
      </w:r>
    </w:p>
    <w:p w:rsidR="00B70A42" w:rsidRDefault="005643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bookmarkStart w:id="0" w:name="_jv1o8edln29f" w:colFirst="0" w:colLast="0"/>
      <w:bookmarkEnd w:id="0"/>
      <w:r>
        <w:rPr>
          <w:rFonts w:ascii="Century Gothic" w:eastAsia="Century Gothic" w:hAnsi="Century Gothic" w:cs="Century Gothic"/>
          <w:sz w:val="22"/>
          <w:szCs w:val="22"/>
        </w:rPr>
        <w:t xml:space="preserve">Voir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rilpivirine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+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famotidine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(antagoniste des récepteurs H2)</w:t>
      </w:r>
    </w:p>
    <w:p w:rsidR="005643F4" w:rsidRDefault="005643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Voir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rilpivirine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+ antiacides</w:t>
      </w:r>
    </w:p>
    <w:p w:rsidR="00B70A42" w:rsidRDefault="00B70A42">
      <w:pPr>
        <w:widowControl w:val="0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273F65" w:rsidRDefault="00273F6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F0353B" w:rsidRDefault="00F0353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:rsidR="00F0353B" w:rsidRDefault="00F0353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:rsidR="00F0353B" w:rsidRDefault="00F0353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</w:p>
    <w:p w:rsidR="00B70A42" w:rsidRDefault="007B08B5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lastRenderedPageBreak/>
        <w:t xml:space="preserve">Suggestion de la pharmacie ou nouvelle prescription : </w:t>
      </w:r>
    </w:p>
    <w:p w:rsidR="00B70A42" w:rsidRDefault="00B70A4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</w:p>
    <w:tbl>
      <w:tblPr>
        <w:tblStyle w:val="a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6"/>
      </w:tblGrid>
      <w:tr w:rsidR="00B70A42">
        <w:tc>
          <w:tcPr>
            <w:tcW w:w="9396" w:type="dxa"/>
          </w:tcPr>
          <w:p w:rsidR="00B70A42" w:rsidRDefault="007B08B5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Date : _____/_____/_____</w:t>
            </w:r>
          </w:p>
          <w:p w:rsidR="00B70A42" w:rsidRDefault="007B08B5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Patient(e) : ________________________          DDN : _____/_____/_____</w:t>
            </w:r>
          </w:p>
          <w:p w:rsidR="00B70A42" w:rsidRDefault="007B08B5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# Téléphone : _____________________________</w:t>
            </w:r>
          </w:p>
        </w:tc>
      </w:tr>
      <w:tr w:rsidR="00B70A42">
        <w:tc>
          <w:tcPr>
            <w:tcW w:w="9396" w:type="dxa"/>
          </w:tcPr>
          <w:p w:rsidR="00B70A42" w:rsidRDefault="007B08B5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Rx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 : </w:t>
            </w:r>
          </w:p>
          <w:p w:rsidR="00B70A42" w:rsidRDefault="00B70A42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  <w:p w:rsidR="00B70A42" w:rsidRDefault="00B70A42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  <w:p w:rsidR="00B70A42" w:rsidRDefault="00B70A42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  <w:p w:rsidR="00B70A42" w:rsidRDefault="00B70A42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  <w:p w:rsidR="00B70A42" w:rsidRDefault="007B08B5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Renouvellement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</w:t>
            </w: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: _____</w:t>
            </w:r>
          </w:p>
          <w:p w:rsidR="00B70A42" w:rsidRDefault="00B70A42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  <w:p w:rsidR="00B70A42" w:rsidRDefault="00B70A42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  <w:p w:rsidR="00B70A42" w:rsidRDefault="00B70A42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  <w:p w:rsidR="00B70A42" w:rsidRDefault="007B08B5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Médecin : __________  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Numéro de pratique</w:t>
            </w: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 : __________    Signature : __________</w:t>
            </w:r>
          </w:p>
          <w:p w:rsidR="00B70A42" w:rsidRDefault="007B08B5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Adresse : ____________________________________________</w:t>
            </w:r>
          </w:p>
          <w:p w:rsidR="00B70A42" w:rsidRDefault="007B08B5">
            <w:pPr>
              <w:jc w:val="both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#Téléphone : ____________________     #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Téléccopieur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 : ________________</w:t>
            </w:r>
          </w:p>
        </w:tc>
      </w:tr>
      <w:tr w:rsidR="00B70A42">
        <w:tc>
          <w:tcPr>
            <w:tcW w:w="9396" w:type="dxa"/>
          </w:tcPr>
          <w:p w:rsidR="00B70A42" w:rsidRDefault="007B08B5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Certification du prescripteur </w:t>
            </w:r>
          </w:p>
          <w:p w:rsidR="00B70A42" w:rsidRDefault="007B08B5">
            <w:pP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Je certifie que : </w:t>
            </w:r>
          </w:p>
          <w:p w:rsidR="00B70A42" w:rsidRDefault="007B08B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cette ordonnance est une ordonnance originale, </w:t>
            </w:r>
          </w:p>
          <w:p w:rsidR="00B70A42" w:rsidRDefault="007B08B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 xml:space="preserve">le pharmacien identifié précité est le seul destinataire, </w:t>
            </w:r>
          </w:p>
          <w:p w:rsidR="00B70A42" w:rsidRDefault="007B08B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l’original ne sera pas réutilisé.</w:t>
            </w:r>
          </w:p>
        </w:tc>
      </w:tr>
    </w:tbl>
    <w:p w:rsidR="00B70A42" w:rsidRDefault="00B70A42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B70A42" w:rsidRDefault="007B08B5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Veuillez svp nous faire parvenir une copie de cette page avec votre conduite à tenir. </w:t>
      </w:r>
    </w:p>
    <w:p w:rsidR="00B70A42" w:rsidRDefault="00B70A42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B70A42" w:rsidRDefault="007B08B5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Si vous avez besoin d’information complémentaire, n’hésitez pas à communiquer avec moi. </w:t>
      </w:r>
    </w:p>
    <w:p w:rsidR="00B70A42" w:rsidRDefault="00B70A42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B70A42" w:rsidRDefault="007B08B5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Cordialement, </w:t>
      </w:r>
    </w:p>
    <w:p w:rsidR="00B70A42" w:rsidRDefault="00B70A42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B70A42" w:rsidRDefault="007B08B5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Pharmacien(ne) : ____________________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Pharmacie : ____________________</w:t>
      </w:r>
    </w:p>
    <w:p w:rsidR="00B70A42" w:rsidRDefault="007B08B5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>#Téléphone : ____________________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ab/>
        <w:t>#Télécopieur : ____________________</w:t>
      </w:r>
    </w:p>
    <w:p w:rsidR="00B70A42" w:rsidRDefault="00B70A42">
      <w:pPr>
        <w:jc w:val="both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:rsidR="00B70A42" w:rsidRDefault="00B70A42">
      <w:pPr>
        <w:rPr>
          <w:rFonts w:ascii="Century Gothic" w:eastAsia="Century Gothic" w:hAnsi="Century Gothic" w:cs="Century Gothic"/>
          <w:sz w:val="22"/>
          <w:szCs w:val="22"/>
        </w:rPr>
      </w:pPr>
    </w:p>
    <w:p w:rsidR="00B70A42" w:rsidRDefault="00B70A42">
      <w:pPr>
        <w:rPr>
          <w:rFonts w:ascii="Century Gothic" w:eastAsia="Century Gothic" w:hAnsi="Century Gothic" w:cs="Century Gothic"/>
          <w:sz w:val="22"/>
          <w:szCs w:val="22"/>
        </w:rPr>
      </w:pPr>
    </w:p>
    <w:p w:rsidR="00B70A42" w:rsidRDefault="00B70A42">
      <w:pPr>
        <w:rPr>
          <w:rFonts w:ascii="Century Gothic" w:eastAsia="Century Gothic" w:hAnsi="Century Gothic" w:cs="Century Gothic"/>
          <w:sz w:val="22"/>
          <w:szCs w:val="22"/>
        </w:rPr>
      </w:pPr>
    </w:p>
    <w:p w:rsidR="00B70A42" w:rsidRDefault="00B70A42">
      <w:pPr>
        <w:rPr>
          <w:rFonts w:ascii="Century Gothic" w:eastAsia="Century Gothic" w:hAnsi="Century Gothic" w:cs="Century Gothic"/>
          <w:sz w:val="22"/>
          <w:szCs w:val="22"/>
        </w:rPr>
      </w:pPr>
    </w:p>
    <w:p w:rsidR="00B70A42" w:rsidRDefault="00B70A42">
      <w:pPr>
        <w:rPr>
          <w:rFonts w:ascii="Century Gothic" w:eastAsia="Century Gothic" w:hAnsi="Century Gothic" w:cs="Century Gothic"/>
          <w:sz w:val="22"/>
          <w:szCs w:val="22"/>
        </w:rPr>
      </w:pPr>
    </w:p>
    <w:p w:rsidR="00B70A42" w:rsidRDefault="00B70A42">
      <w:pPr>
        <w:rPr>
          <w:rFonts w:ascii="Century Gothic" w:eastAsia="Century Gothic" w:hAnsi="Century Gothic" w:cs="Century Gothic"/>
          <w:sz w:val="22"/>
          <w:szCs w:val="22"/>
        </w:rPr>
      </w:pPr>
    </w:p>
    <w:p w:rsidR="00B70A42" w:rsidRDefault="00B70A42">
      <w:pPr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B70A42" w:rsidRDefault="00B70A42">
      <w:pPr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B70A42" w:rsidRDefault="00B70A42">
      <w:pPr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B70A42" w:rsidRDefault="00B70A42">
      <w:pPr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B70A42" w:rsidRDefault="00B70A42">
      <w:pPr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B70A42" w:rsidRDefault="00B70A42">
      <w:pPr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B70A42" w:rsidRDefault="00B70A42">
      <w:pPr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E15ABE" w:rsidRDefault="00E15ABE">
      <w:pPr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E15ABE" w:rsidRDefault="00E15ABE">
      <w:pPr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E15ABE" w:rsidRDefault="00E15ABE" w:rsidP="00E15ABE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  <w:proofErr w:type="gramStart"/>
      <w:r>
        <w:rPr>
          <w:rFonts w:ascii="Century Gothic" w:eastAsia="Century Gothic" w:hAnsi="Century Gothic" w:cs="Century Gothic"/>
          <w:b/>
          <w:sz w:val="22"/>
          <w:szCs w:val="22"/>
        </w:rPr>
        <w:t>Références</w:t>
      </w:r>
      <w:proofErr w:type="gram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 : </w:t>
      </w:r>
    </w:p>
    <w:p w:rsidR="00E15ABE" w:rsidRDefault="00E15ABE" w:rsidP="00E15ABE">
      <w:pPr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E15ABE" w:rsidRDefault="00E15ABE" w:rsidP="00E15ABE">
      <w:pPr>
        <w:numPr>
          <w:ilvl w:val="0"/>
          <w:numId w:val="9"/>
        </w:num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Monographie :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Rilpivirine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Edurant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), Janssen Inc., Ontario, Canada, 4 mars 2019.</w:t>
      </w:r>
    </w:p>
    <w:p w:rsidR="00E15ABE" w:rsidRDefault="00E15ABE" w:rsidP="0032354D">
      <w:pPr>
        <w:numPr>
          <w:ilvl w:val="0"/>
          <w:numId w:val="9"/>
        </w:num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Monographie :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Rilpivirine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Emtricitabine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Ténofovir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DF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Complera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),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Gilead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Sciences Inc., Ontario, Canada, </w:t>
      </w:r>
      <w:r w:rsidR="0032354D" w:rsidRPr="0032354D">
        <w:rPr>
          <w:rFonts w:ascii="Century Gothic" w:eastAsia="Century Gothic" w:hAnsi="Century Gothic" w:cs="Century Gothic"/>
          <w:sz w:val="22"/>
          <w:szCs w:val="22"/>
        </w:rPr>
        <w:t>17 octobre 2019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E15ABE" w:rsidRDefault="00E15ABE" w:rsidP="0032354D">
      <w:pPr>
        <w:numPr>
          <w:ilvl w:val="0"/>
          <w:numId w:val="9"/>
        </w:num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Monographie :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Rilpivirine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Emtricitabine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Ténofovir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alafénamide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Odefsey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),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Gilead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Sciences Inc., Ontario, Canada, </w:t>
      </w:r>
      <w:r w:rsidR="0032354D" w:rsidRPr="0032354D">
        <w:rPr>
          <w:rFonts w:ascii="Century Gothic" w:eastAsia="Century Gothic" w:hAnsi="Century Gothic" w:cs="Century Gothic"/>
          <w:sz w:val="22"/>
          <w:szCs w:val="22"/>
        </w:rPr>
        <w:t>13 novembre 2019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E15ABE" w:rsidRDefault="00E15ABE" w:rsidP="00E15ABE">
      <w:pPr>
        <w:numPr>
          <w:ilvl w:val="0"/>
          <w:numId w:val="9"/>
        </w:num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Monographie 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: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Dolutégravir</w:t>
      </w:r>
      <w:proofErr w:type="spellEnd"/>
      <w:proofErr w:type="gramEnd"/>
      <w:r>
        <w:rPr>
          <w:rFonts w:ascii="Century Gothic" w:eastAsia="Century Gothic" w:hAnsi="Century Gothic" w:cs="Century Gothic"/>
          <w:sz w:val="22"/>
          <w:szCs w:val="22"/>
        </w:rPr>
        <w:t>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Rilpivirine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Juluca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),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ViiV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Soins de santé ULC, Québec, Canada, </w:t>
      </w:r>
      <w:r w:rsidR="0032354D">
        <w:rPr>
          <w:rFonts w:ascii="Century Gothic" w:eastAsia="Century Gothic" w:hAnsi="Century Gothic" w:cs="Century Gothic"/>
          <w:sz w:val="22"/>
          <w:szCs w:val="22"/>
        </w:rPr>
        <w:t>19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août 20</w:t>
      </w:r>
      <w:r w:rsidR="0032354D">
        <w:rPr>
          <w:rFonts w:ascii="Century Gothic" w:eastAsia="Century Gothic" w:hAnsi="Century Gothic" w:cs="Century Gothic"/>
          <w:sz w:val="22"/>
          <w:szCs w:val="22"/>
        </w:rPr>
        <w:t>21</w:t>
      </w:r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:rsidR="00CD0D19" w:rsidRPr="00FB23C0" w:rsidRDefault="00FB23C0" w:rsidP="00FB23C0">
      <w:pPr>
        <w:numPr>
          <w:ilvl w:val="0"/>
          <w:numId w:val="9"/>
        </w:numPr>
        <w:jc w:val="both"/>
        <w:rPr>
          <w:rFonts w:ascii="Century Gothic" w:eastAsia="Century Gothic" w:hAnsi="Century Gothic" w:cs="Century Gothic"/>
          <w:sz w:val="22"/>
          <w:szCs w:val="22"/>
          <w:lang w:val="en-CA"/>
        </w:rPr>
      </w:pPr>
      <w:proofErr w:type="spellStart"/>
      <w:r w:rsidRPr="00FB23C0">
        <w:rPr>
          <w:rFonts w:ascii="Century Gothic" w:eastAsia="Century Gothic" w:hAnsi="Century Gothic" w:cs="Century Gothic"/>
          <w:sz w:val="22"/>
          <w:szCs w:val="22"/>
          <w:lang w:val="en-CA"/>
        </w:rPr>
        <w:t>Crauwels</w:t>
      </w:r>
      <w:proofErr w:type="spellEnd"/>
      <w:r w:rsidRPr="00FB23C0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HM, van </w:t>
      </w:r>
      <w:proofErr w:type="spellStart"/>
      <w:r w:rsidRPr="00FB23C0">
        <w:rPr>
          <w:rFonts w:ascii="Century Gothic" w:eastAsia="Century Gothic" w:hAnsi="Century Gothic" w:cs="Century Gothic"/>
          <w:sz w:val="22"/>
          <w:szCs w:val="22"/>
          <w:lang w:val="en-CA"/>
        </w:rPr>
        <w:t>Heeswijk</w:t>
      </w:r>
      <w:proofErr w:type="spellEnd"/>
      <w:r w:rsidRPr="00FB23C0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RPG, </w:t>
      </w:r>
      <w:proofErr w:type="spellStart"/>
      <w:r w:rsidRPr="00FB23C0">
        <w:rPr>
          <w:rFonts w:ascii="Century Gothic" w:eastAsia="Century Gothic" w:hAnsi="Century Gothic" w:cs="Century Gothic"/>
          <w:sz w:val="22"/>
          <w:szCs w:val="22"/>
          <w:lang w:val="en-CA"/>
        </w:rPr>
        <w:t>Kestens</w:t>
      </w:r>
      <w:proofErr w:type="spellEnd"/>
      <w:r w:rsidRPr="00FB23C0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D, Stevens M, </w:t>
      </w:r>
      <w:proofErr w:type="spellStart"/>
      <w:r w:rsidRPr="00FB23C0">
        <w:rPr>
          <w:rFonts w:ascii="Century Gothic" w:eastAsia="Century Gothic" w:hAnsi="Century Gothic" w:cs="Century Gothic"/>
          <w:sz w:val="22"/>
          <w:szCs w:val="22"/>
          <w:lang w:val="en-CA"/>
        </w:rPr>
        <w:t>Buelens</w:t>
      </w:r>
      <w:proofErr w:type="spellEnd"/>
      <w:r w:rsidRPr="00FB23C0">
        <w:rPr>
          <w:rFonts w:ascii="Century Gothic" w:eastAsia="Century Gothic" w:hAnsi="Century Gothic" w:cs="Century Gothic"/>
          <w:sz w:val="22"/>
          <w:szCs w:val="22"/>
          <w:lang w:val="en-CA"/>
        </w:rPr>
        <w:t xml:space="preserve"> A, et al. The pharmacokinetic interaction between omeprazole and TMC278, a next generation non-nucleoside reverse transcriptase inhibitor. 9th International Congress on Drug Therapy in HIV Infection, Glasgow, 9-</w:t>
      </w:r>
      <w:r>
        <w:rPr>
          <w:rFonts w:ascii="Century Gothic" w:eastAsia="Century Gothic" w:hAnsi="Century Gothic" w:cs="Century Gothic"/>
          <w:sz w:val="22"/>
          <w:szCs w:val="22"/>
          <w:lang w:val="en-CA"/>
        </w:rPr>
        <w:t>13 November 2008, abstract P239</w:t>
      </w:r>
      <w:bookmarkStart w:id="1" w:name="_GoBack"/>
      <w:bookmarkEnd w:id="1"/>
      <w:r w:rsidR="00CD0D19" w:rsidRPr="00FB23C0">
        <w:rPr>
          <w:rFonts w:ascii="Century Gothic" w:eastAsia="Century Gothic" w:hAnsi="Century Gothic" w:cs="Century Gothic"/>
          <w:sz w:val="22"/>
          <w:szCs w:val="22"/>
          <w:lang w:val="en-CA"/>
        </w:rPr>
        <w:t>.</w:t>
      </w:r>
    </w:p>
    <w:p w:rsidR="00E15ABE" w:rsidRDefault="00E15ABE" w:rsidP="00E15ABE">
      <w:pPr>
        <w:numPr>
          <w:ilvl w:val="0"/>
          <w:numId w:val="9"/>
        </w:numPr>
        <w:ind w:left="714" w:hanging="357"/>
        <w:contextualSpacing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Guide thérapeutique VIH. [En ligne]. Disponible : </w:t>
      </w:r>
      <w:r>
        <w:rPr>
          <w:rFonts w:ascii="Century Gothic" w:eastAsia="Century Gothic" w:hAnsi="Century Gothic" w:cs="Century Gothic"/>
          <w:color w:val="0000FF"/>
          <w:sz w:val="22"/>
          <w:szCs w:val="22"/>
        </w:rPr>
        <w:t>http://www.guidetherapeutiquevih.com</w:t>
      </w:r>
    </w:p>
    <w:p w:rsidR="00E15ABE" w:rsidRDefault="00E15ABE" w:rsidP="00E15ABE">
      <w:pPr>
        <w:ind w:left="720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B70A42" w:rsidRPr="00E15ABE" w:rsidRDefault="00B70A42" w:rsidP="00E15ABE">
      <w:pPr>
        <w:rPr>
          <w:rFonts w:ascii="Century Gothic" w:eastAsia="Century Gothic" w:hAnsi="Century Gothic" w:cs="Century Gothic"/>
          <w:b/>
          <w:sz w:val="22"/>
          <w:szCs w:val="22"/>
        </w:rPr>
      </w:pPr>
    </w:p>
    <w:sectPr w:rsidR="00B70A42" w:rsidRPr="00E15A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4DB" w:rsidRDefault="002E34DB">
      <w:r>
        <w:separator/>
      </w:r>
    </w:p>
  </w:endnote>
  <w:endnote w:type="continuationSeparator" w:id="0">
    <w:p w:rsidR="002E34DB" w:rsidRDefault="002E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A42" w:rsidRDefault="00B70A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A42" w:rsidRDefault="002E34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hyperlink r:id="rId1">
      <w:r w:rsidR="007B08B5">
        <w:rPr>
          <w:color w:val="0563C1"/>
          <w:u w:val="single"/>
        </w:rPr>
        <w:t>www.guidetherapeutiqueVIH.com</w:t>
      </w:r>
    </w:hyperlink>
    <w:r w:rsidR="007B08B5">
      <w:rPr>
        <w:color w:val="000000"/>
      </w:rPr>
      <w:t xml:space="preserve">  </w:t>
    </w:r>
    <w:r w:rsidR="007B08B5">
      <w:t xml:space="preserve">                                                                              </w:t>
    </w:r>
    <w:r w:rsidR="0032354D">
      <w:t>Novembre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A42" w:rsidRDefault="00B70A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4DB" w:rsidRDefault="002E34DB">
      <w:r>
        <w:separator/>
      </w:r>
    </w:p>
  </w:footnote>
  <w:footnote w:type="continuationSeparator" w:id="0">
    <w:p w:rsidR="002E34DB" w:rsidRDefault="002E3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A42" w:rsidRDefault="00B70A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A42" w:rsidRDefault="00B70A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A42" w:rsidRDefault="00B70A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4F94"/>
    <w:multiLevelType w:val="multilevel"/>
    <w:tmpl w:val="4F34D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91641"/>
    <w:multiLevelType w:val="multilevel"/>
    <w:tmpl w:val="EF6EF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E5E19"/>
    <w:multiLevelType w:val="multilevel"/>
    <w:tmpl w:val="6F44F26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71609D3"/>
    <w:multiLevelType w:val="multilevel"/>
    <w:tmpl w:val="32B0DD0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4EF70E5F"/>
    <w:multiLevelType w:val="multilevel"/>
    <w:tmpl w:val="11C0769C"/>
    <w:lvl w:ilvl="0">
      <w:start w:val="1"/>
      <w:numFmt w:val="decimal"/>
      <w:lvlText w:val="%1."/>
      <w:lvlJc w:val="left"/>
      <w:pPr>
        <w:ind w:left="720" w:hanging="360"/>
      </w:pPr>
      <w:rPr>
        <w:rFonts w:ascii="Helvetica Neue" w:eastAsia="Helvetica Neue" w:hAnsi="Helvetica Neue" w:cs="Helvetica Neue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74F4B"/>
    <w:multiLevelType w:val="multilevel"/>
    <w:tmpl w:val="7CC63152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C955EB5"/>
    <w:multiLevelType w:val="multilevel"/>
    <w:tmpl w:val="220C8012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22B35D6"/>
    <w:multiLevelType w:val="multilevel"/>
    <w:tmpl w:val="2CBED6B0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ED74EF6"/>
    <w:multiLevelType w:val="multilevel"/>
    <w:tmpl w:val="10562E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0A42"/>
    <w:rsid w:val="000F5795"/>
    <w:rsid w:val="00273F65"/>
    <w:rsid w:val="002E34DB"/>
    <w:rsid w:val="0032354D"/>
    <w:rsid w:val="00474890"/>
    <w:rsid w:val="005643F4"/>
    <w:rsid w:val="00624C8C"/>
    <w:rsid w:val="00774ED9"/>
    <w:rsid w:val="007B08B5"/>
    <w:rsid w:val="007F22F0"/>
    <w:rsid w:val="00A20DE0"/>
    <w:rsid w:val="00B70A42"/>
    <w:rsid w:val="00CD0D19"/>
    <w:rsid w:val="00D31941"/>
    <w:rsid w:val="00E15ABE"/>
    <w:rsid w:val="00F0353B"/>
    <w:rsid w:val="00FB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C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C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Pichette</dc:creator>
  <cp:lastModifiedBy>Claude</cp:lastModifiedBy>
  <cp:revision>4</cp:revision>
  <dcterms:created xsi:type="dcterms:W3CDTF">2021-11-21T10:42:00Z</dcterms:created>
  <dcterms:modified xsi:type="dcterms:W3CDTF">2021-11-21T14:29:00Z</dcterms:modified>
</cp:coreProperties>
</file>