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42" w:rsidRDefault="007B08B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Opinion pharmaceutique </w:t>
      </w:r>
    </w:p>
    <w:p w:rsidR="00B70A42" w:rsidRDefault="00B70A42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 w:rsidP="00C70CE7">
      <w:pP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Interaction entre les </w:t>
      </w:r>
      <w:r w:rsidR="00C70CE7" w:rsidRPr="00C70CE7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antag</w:t>
      </w:r>
      <w:r w:rsidR="00C70CE7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onistes des récepteurs </w:t>
      </w:r>
      <w:r w:rsidR="00F16ACF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H</w:t>
      </w:r>
      <w:r w:rsidR="00F16ACF" w:rsidRPr="00C70CE7">
        <w:rPr>
          <w:rFonts w:ascii="Century Gothic" w:eastAsia="Century Gothic" w:hAnsi="Century Gothic" w:cs="Century Gothic"/>
          <w:b/>
          <w:color w:val="000000"/>
          <w:sz w:val="22"/>
          <w:szCs w:val="22"/>
          <w:vertAlign w:val="subscript"/>
        </w:rPr>
        <w:t>2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</w:t>
      </w:r>
      <w:r w:rsidR="00C70CE7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br/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et </w:t>
      </w:r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la </w:t>
      </w:r>
      <w:proofErr w:type="spellStart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(</w:t>
      </w:r>
      <w:proofErr w:type="spellStart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Edurant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Complera</w:t>
      </w:r>
      <w:proofErr w:type="spellEnd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, </w:t>
      </w:r>
      <w:proofErr w:type="spellStart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Odefsey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)</w:t>
      </w:r>
    </w:p>
    <w:p w:rsidR="00B70A42" w:rsidRDefault="00B70A42">
      <w:pPr>
        <w:jc w:val="center"/>
        <w:rPr>
          <w:rFonts w:ascii="Century Gothic" w:eastAsia="Century Gothic" w:hAnsi="Century Gothic" w:cs="Century Gothic"/>
        </w:rPr>
      </w:pPr>
    </w:p>
    <w:p w:rsidR="00B70A42" w:rsidRDefault="00B70A42">
      <w:pPr>
        <w:jc w:val="center"/>
        <w:rPr>
          <w:rFonts w:ascii="Century Gothic" w:eastAsia="Century Gothic" w:hAnsi="Century Gothic" w:cs="Century Gothic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DDN : _____/_____/_____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Interaction entre : </w:t>
      </w:r>
    </w:p>
    <w:p w:rsidR="000F5795" w:rsidRDefault="00F16ACF" w:rsidP="00F16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F</w:t>
      </w:r>
      <w:r w:rsidRPr="00F16ACF">
        <w:rPr>
          <w:rFonts w:ascii="Century Gothic" w:eastAsia="Century Gothic" w:hAnsi="Century Gothic" w:cs="Century Gothic"/>
          <w:color w:val="000000"/>
          <w:sz w:val="22"/>
          <w:szCs w:val="22"/>
        </w:rPr>
        <w:t>amotidine</w:t>
      </w:r>
      <w:proofErr w:type="spellEnd"/>
      <w:r w:rsidRPr="00F16ACF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 w:rsidRPr="00F16ACF">
        <w:rPr>
          <w:rFonts w:ascii="Century Gothic" w:eastAsia="Century Gothic" w:hAnsi="Century Gothic" w:cs="Century Gothic"/>
          <w:color w:val="000000"/>
          <w:sz w:val="22"/>
          <w:szCs w:val="22"/>
        </w:rPr>
        <w:t>Pepcid</w:t>
      </w:r>
      <w:proofErr w:type="spellEnd"/>
      <w:r w:rsidRPr="00F16ACF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F5795" w:rsidRPr="000F5795" w:rsidRDefault="00F16ACF" w:rsidP="000F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Cimétidin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e (</w:t>
      </w:r>
      <w:proofErr w:type="spellStart"/>
      <w:r w:rsidR="00C70CE7">
        <w:rPr>
          <w:rFonts w:ascii="Century Gothic" w:eastAsia="Century Gothic" w:hAnsi="Century Gothic" w:cs="Century Gothic"/>
          <w:color w:val="000000"/>
          <w:sz w:val="22"/>
          <w:szCs w:val="22"/>
        </w:rPr>
        <w:t>Tagamet</w:t>
      </w:r>
      <w:proofErr w:type="spellEnd"/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F5795" w:rsidRPr="000F5795" w:rsidRDefault="00F16ACF" w:rsidP="000F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Nizatidine</w:t>
      </w:r>
      <w:proofErr w:type="spellEnd"/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 w:rsidR="00C70CE7">
        <w:rPr>
          <w:rFonts w:ascii="Century Gothic" w:eastAsia="Century Gothic" w:hAnsi="Century Gothic" w:cs="Century Gothic"/>
          <w:color w:val="000000"/>
          <w:sz w:val="22"/>
          <w:szCs w:val="22"/>
        </w:rPr>
        <w:t>Axid</w:t>
      </w:r>
      <w:proofErr w:type="spellEnd"/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F5795" w:rsidRPr="000F5795" w:rsidRDefault="00F16ACF" w:rsidP="00F16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Ranitidin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e</w:t>
      </w:r>
      <w:proofErr w:type="spellEnd"/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r w:rsidRPr="00F16ACF">
        <w:rPr>
          <w:rFonts w:ascii="Century Gothic" w:eastAsia="Century Gothic" w:hAnsi="Century Gothic" w:cs="Century Gothic"/>
          <w:color w:val="000000"/>
          <w:sz w:val="22"/>
          <w:szCs w:val="22"/>
        </w:rPr>
        <w:t>Zantac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Et </w:t>
      </w:r>
    </w:p>
    <w:p w:rsidR="00B70A42" w:rsidRDefault="007F2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Edurant</w:t>
      </w:r>
      <w:proofErr w:type="spellEnd"/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B70A42" w:rsidRPr="007F22F0" w:rsidRDefault="007F2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DF</w:t>
      </w:r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Complera</w:t>
      </w:r>
      <w:proofErr w:type="spellEnd"/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7F22F0" w:rsidRDefault="007F2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Odefsey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B70A42" w:rsidRDefault="007F2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 w:rsidR="007B08B5"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 w:rsidR="007B08B5">
        <w:rPr>
          <w:rFonts w:ascii="Century Gothic" w:eastAsia="Century Gothic" w:hAnsi="Century Gothic" w:cs="Century Gothic"/>
          <w:sz w:val="22"/>
          <w:szCs w:val="22"/>
        </w:rPr>
        <w:t>(</w:t>
      </w:r>
      <w:proofErr w:type="spellStart"/>
      <w:r w:rsidR="007B08B5"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 w:rsidR="007B08B5"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Une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l’efficacité clinique </w:t>
      </w:r>
      <w:r w:rsidR="007F22F0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de la </w:t>
      </w:r>
      <w:proofErr w:type="spellStart"/>
      <w:r w:rsidR="007F22F0"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peut survenir lors de l’administration avec un </w:t>
      </w:r>
      <w:r w:rsidR="00053353">
        <w:rPr>
          <w:rFonts w:ascii="Century Gothic" w:eastAsia="Century Gothic" w:hAnsi="Century Gothic" w:cs="Century Gothic"/>
          <w:color w:val="000000"/>
          <w:sz w:val="22"/>
          <w:szCs w:val="22"/>
        </w:rPr>
        <w:t>antagoniste</w:t>
      </w:r>
      <w:r w:rsidR="00053353" w:rsidRPr="00053353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des récepteurs </w:t>
      </w:r>
      <w:r w:rsidR="00053353">
        <w:rPr>
          <w:rFonts w:ascii="Century Gothic" w:eastAsia="Century Gothic" w:hAnsi="Century Gothic" w:cs="Century Gothic"/>
          <w:color w:val="000000"/>
          <w:sz w:val="22"/>
          <w:szCs w:val="22"/>
        </w:rPr>
        <w:t>H</w:t>
      </w:r>
      <w:r w:rsidR="00053353" w:rsidRPr="0058384A">
        <w:rPr>
          <w:rFonts w:ascii="Century Gothic" w:eastAsia="Century Gothic" w:hAnsi="Century Gothic" w:cs="Century Gothic"/>
          <w:color w:val="000000"/>
          <w:sz w:val="22"/>
          <w:szCs w:val="22"/>
          <w:vertAlign w:val="subscript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 w:rsidR="00C70CE7">
        <w:rPr>
          <w:rFonts w:ascii="Century Gothic" w:eastAsia="Century Gothic" w:hAnsi="Century Gothic" w:cs="Century Gothic"/>
          <w:color w:val="000000"/>
          <w:sz w:val="22"/>
          <w:szCs w:val="22"/>
        </w:rPr>
        <w:t>Famotidin</w:t>
      </w:r>
      <w:r w:rsidR="007F22F0">
        <w:rPr>
          <w:rFonts w:ascii="Century Gothic" w:eastAsia="Century Gothic" w:hAnsi="Century Gothic" w:cs="Century Gothic"/>
          <w:color w:val="000000"/>
          <w:sz w:val="22"/>
          <w:szCs w:val="22"/>
        </w:rPr>
        <w:t>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 w:rsidR="00C70CE7">
        <w:rPr>
          <w:rFonts w:ascii="Century Gothic" w:eastAsia="Century Gothic" w:hAnsi="Century Gothic" w:cs="Century Gothic"/>
          <w:color w:val="000000"/>
          <w:sz w:val="22"/>
          <w:szCs w:val="22"/>
        </w:rPr>
        <w:t>ranitidine</w:t>
      </w:r>
      <w:proofErr w:type="spellEnd"/>
      <w:r w:rsidR="00C70CE7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etc.). Voici pourquoi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1-</w:t>
      </w:r>
      <w:r w:rsidR="00CD0D19">
        <w:rPr>
          <w:rFonts w:ascii="Century Gothic" w:eastAsia="Century Gothic" w:hAnsi="Century Gothic" w:cs="Century Gothic"/>
          <w:sz w:val="22"/>
          <w:szCs w:val="22"/>
          <w:vertAlign w:val="superscript"/>
        </w:rPr>
        <w:t>6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 :</w:t>
      </w:r>
    </w:p>
    <w:p w:rsidR="00B70A42" w:rsidRPr="00273F65" w:rsidRDefault="007B08B5" w:rsidP="00273F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Les </w:t>
      </w:r>
      <w:r w:rsidR="00C70CE7">
        <w:rPr>
          <w:rFonts w:ascii="Century Gothic" w:eastAsia="Century Gothic" w:hAnsi="Century Gothic" w:cs="Century Gothic"/>
          <w:color w:val="000000"/>
          <w:sz w:val="22"/>
          <w:szCs w:val="22"/>
        </w:rPr>
        <w:t>anti-</w:t>
      </w:r>
      <w:r w:rsidR="00053353">
        <w:rPr>
          <w:rFonts w:ascii="Century Gothic" w:eastAsia="Century Gothic" w:hAnsi="Century Gothic" w:cs="Century Gothic"/>
          <w:color w:val="000000"/>
          <w:sz w:val="22"/>
          <w:szCs w:val="22"/>
        </w:rPr>
        <w:t>H</w:t>
      </w:r>
      <w:r w:rsidR="00053353" w:rsidRPr="0058384A">
        <w:rPr>
          <w:rFonts w:ascii="Century Gothic" w:eastAsia="Century Gothic" w:hAnsi="Century Gothic" w:cs="Century Gothic"/>
          <w:color w:val="000000"/>
          <w:sz w:val="22"/>
          <w:szCs w:val="22"/>
          <w:vertAlign w:val="subscript"/>
        </w:rPr>
        <w:t>2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, en augmentant le Ph gastrique,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peu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la solubilité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,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absorption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la concentration plasmatique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la </w:t>
      </w:r>
      <w:proofErr w:type="spellStart"/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Il peut en résulter une perte de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l’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efficacité clinique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la </w:t>
      </w:r>
      <w:proofErr w:type="spellStart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</w:t>
      </w:r>
      <w:r w:rsidR="00273F65" w:rsidRPr="00273F65">
        <w:rPr>
          <w:rFonts w:ascii="Century Gothic" w:eastAsia="Century Gothic" w:hAnsi="Century Gothic" w:cs="Century Gothic"/>
          <w:color w:val="000000"/>
          <w:sz w:val="22"/>
          <w:szCs w:val="22"/>
        </w:rPr>
        <w:t>ainsi que le développement possible d’une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résistance à la </w:t>
      </w:r>
      <w:proofErr w:type="spellStart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à d’autres INNTI</w:t>
      </w:r>
      <w:r w:rsidRPr="00273F65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Pour de plus amples informations, voici l’étude évaluant l’interaction ci-haut :</w:t>
      </w:r>
    </w:p>
    <w:p w:rsidR="00273F65" w:rsidRDefault="0080500E" w:rsidP="005F1EF9">
      <w:pPr>
        <w:widowControl w:val="0"/>
        <w:numPr>
          <w:ilvl w:val="0"/>
          <w:numId w:val="8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</w:t>
      </w:r>
      <w:r w:rsidR="00053353">
        <w:rPr>
          <w:rFonts w:ascii="Century Gothic" w:eastAsia="Century Gothic" w:hAnsi="Century Gothic" w:cs="Century Gothic"/>
          <w:sz w:val="22"/>
          <w:szCs w:val="22"/>
        </w:rPr>
        <w:t>amotidin</w:t>
      </w:r>
      <w:r w:rsidR="00273F65">
        <w:rPr>
          <w:rFonts w:ascii="Century Gothic" w:eastAsia="Century Gothic" w:hAnsi="Century Gothic" w:cs="Century Gothic"/>
          <w:sz w:val="22"/>
          <w:szCs w:val="22"/>
        </w:rPr>
        <w:t>e</w:t>
      </w:r>
      <w:proofErr w:type="spellEnd"/>
      <w:r w:rsidR="00273F6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5F1EF9" w:rsidRPr="005F1EF9">
        <w:rPr>
          <w:rFonts w:ascii="Century Gothic" w:eastAsia="Century Gothic" w:hAnsi="Century Gothic" w:cs="Century Gothic"/>
          <w:sz w:val="22"/>
          <w:szCs w:val="22"/>
        </w:rPr>
        <w:t xml:space="preserve">40 mg pris 12 heures </w:t>
      </w:r>
      <w:r w:rsidR="005F1EF9">
        <w:rPr>
          <w:rFonts w:ascii="Century Gothic" w:eastAsia="Century Gothic" w:hAnsi="Century Gothic" w:cs="Century Gothic"/>
          <w:sz w:val="22"/>
          <w:szCs w:val="22"/>
        </w:rPr>
        <w:t xml:space="preserve">avant ou 4 heures après la </w:t>
      </w:r>
      <w:proofErr w:type="spellStart"/>
      <w:r w:rsidR="005F1EF9"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 w:rsidR="005F1EF9" w:rsidRPr="005F1EF9">
        <w:rPr>
          <w:rFonts w:ascii="Century Gothic" w:eastAsia="Century Gothic" w:hAnsi="Century Gothic" w:cs="Century Gothic"/>
          <w:sz w:val="22"/>
          <w:szCs w:val="22"/>
        </w:rPr>
        <w:t xml:space="preserve"> ne démontre </w:t>
      </w:r>
      <w:proofErr w:type="gramStart"/>
      <w:r w:rsidR="005F1EF9" w:rsidRPr="005F1EF9">
        <w:rPr>
          <w:rFonts w:ascii="Century Gothic" w:eastAsia="Century Gothic" w:hAnsi="Century Gothic" w:cs="Century Gothic"/>
          <w:sz w:val="22"/>
          <w:szCs w:val="22"/>
        </w:rPr>
        <w:t>aucune</w:t>
      </w:r>
      <w:proofErr w:type="gramEnd"/>
      <w:r w:rsidR="005F1EF9" w:rsidRPr="005F1EF9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changement</w:t>
      </w:r>
      <w:r w:rsidR="005F1EF9" w:rsidRPr="005F1EF9">
        <w:rPr>
          <w:rFonts w:ascii="Century Gothic" w:eastAsia="Century Gothic" w:hAnsi="Century Gothic" w:cs="Century Gothic"/>
          <w:sz w:val="22"/>
          <w:szCs w:val="22"/>
        </w:rPr>
        <w:t xml:space="preserve"> significati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 w:rsidR="005F1EF9" w:rsidRPr="005F1EF9">
        <w:rPr>
          <w:rFonts w:ascii="Century Gothic" w:eastAsia="Century Gothic" w:hAnsi="Century Gothic" w:cs="Century Gothic"/>
          <w:sz w:val="22"/>
          <w:szCs w:val="22"/>
        </w:rPr>
        <w:t xml:space="preserve"> de la SSC</w:t>
      </w:r>
      <w:r w:rsidR="005F1EF9">
        <w:rPr>
          <w:rFonts w:ascii="Century Gothic" w:eastAsia="Century Gothic" w:hAnsi="Century Gothic" w:cs="Century Gothic"/>
          <w:sz w:val="22"/>
          <w:szCs w:val="22"/>
        </w:rPr>
        <w:t xml:space="preserve"> et de la </w:t>
      </w:r>
      <w:proofErr w:type="spellStart"/>
      <w:r w:rsidR="005F1EF9">
        <w:rPr>
          <w:rFonts w:ascii="Century Gothic" w:eastAsia="Century Gothic" w:hAnsi="Century Gothic" w:cs="Century Gothic"/>
          <w:sz w:val="22"/>
          <w:szCs w:val="22"/>
        </w:rPr>
        <w:t>Cmax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 w:rsidR="005F1EF9" w:rsidRPr="005F1EF9"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Par contre,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famotidine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pris 2 heures avant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 diminué la SSC et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Cmax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76% et 85%, respectivement.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Options thérapeutiques possibles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: </w:t>
      </w:r>
    </w:p>
    <w:p w:rsidR="00273F65" w:rsidRDefault="00053353" w:rsidP="00053353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</w:t>
      </w:r>
      <w:r w:rsidR="00273F65">
        <w:rPr>
          <w:rFonts w:ascii="Century Gothic" w:eastAsia="Century Gothic" w:hAnsi="Century Gothic" w:cs="Century Gothic"/>
          <w:sz w:val="22"/>
          <w:szCs w:val="22"/>
        </w:rPr>
        <w:t>ilpivirine</w:t>
      </w:r>
      <w:proofErr w:type="spellEnd"/>
      <w:r w:rsidR="00273F6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doit être utilisée avec prudence </w:t>
      </w:r>
      <w:r w:rsidR="00273F65">
        <w:rPr>
          <w:rFonts w:ascii="Century Gothic" w:eastAsia="Century Gothic" w:hAnsi="Century Gothic" w:cs="Century Gothic"/>
          <w:sz w:val="22"/>
          <w:szCs w:val="22"/>
        </w:rPr>
        <w:t xml:space="preserve">avec les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antagonistes </w:t>
      </w:r>
      <w:r w:rsidRPr="00053353">
        <w:rPr>
          <w:rFonts w:ascii="Century Gothic" w:eastAsia="Century Gothic" w:hAnsi="Century Gothic" w:cs="Century Gothic"/>
          <w:sz w:val="22"/>
          <w:szCs w:val="22"/>
        </w:rPr>
        <w:t xml:space="preserve">des récepteurs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 w:rsidRPr="0058384A">
        <w:rPr>
          <w:rFonts w:ascii="Century Gothic" w:eastAsia="Century Gothic" w:hAnsi="Century Gothic" w:cs="Century Gothic"/>
          <w:sz w:val="22"/>
          <w:szCs w:val="22"/>
          <w:vertAlign w:val="subscript"/>
        </w:rPr>
        <w:t>2</w:t>
      </w:r>
      <w:r w:rsidR="00273F65">
        <w:rPr>
          <w:rFonts w:ascii="Century Gothic" w:eastAsia="Century Gothic" w:hAnsi="Century Gothic" w:cs="Century Gothic"/>
          <w:sz w:val="22"/>
          <w:szCs w:val="22"/>
        </w:rPr>
        <w:t xml:space="preserve"> mentionnés ci-haut.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Ils </w:t>
      </w:r>
      <w:r w:rsidRPr="00053353">
        <w:rPr>
          <w:rFonts w:ascii="Century Gothic" w:eastAsia="Century Gothic" w:hAnsi="Century Gothic" w:cs="Century Gothic"/>
          <w:sz w:val="22"/>
          <w:szCs w:val="22"/>
        </w:rPr>
        <w:t xml:space="preserve">doivent être administrés 12 heures avant ou 4 heures après la </w:t>
      </w:r>
      <w:proofErr w:type="spellStart"/>
      <w:r w:rsidRPr="00053353"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 w:rsidRPr="00053353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053353" w:rsidRDefault="00053353" w:rsidP="00053353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</w:p>
    <w:p w:rsidR="00053353" w:rsidRDefault="00053353" w:rsidP="00053353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  <w:r w:rsidRPr="00053353">
        <w:rPr>
          <w:rFonts w:ascii="Century Gothic" w:eastAsia="Century Gothic" w:hAnsi="Century Gothic" w:cs="Century Gothic"/>
          <w:sz w:val="22"/>
          <w:szCs w:val="22"/>
        </w:rPr>
        <w:t>À noter, la prise de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'anti-H2 QD est à privilégier : </w:t>
      </w:r>
      <w:r w:rsidRPr="00053353">
        <w:rPr>
          <w:rFonts w:ascii="Century Gothic" w:eastAsia="Century Gothic" w:hAnsi="Century Gothic" w:cs="Century Gothic"/>
          <w:sz w:val="22"/>
          <w:szCs w:val="22"/>
        </w:rPr>
        <w:t xml:space="preserve">Prendre la </w:t>
      </w:r>
      <w:proofErr w:type="spellStart"/>
      <w:r w:rsidRPr="00053353"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 w:rsidRPr="00053353">
        <w:rPr>
          <w:rFonts w:ascii="Century Gothic" w:eastAsia="Century Gothic" w:hAnsi="Century Gothic" w:cs="Century Gothic"/>
          <w:sz w:val="22"/>
          <w:szCs w:val="22"/>
        </w:rPr>
        <w:t xml:space="preserve"> 12 heures après l’anti-H2.</w:t>
      </w:r>
    </w:p>
    <w:p w:rsidR="00053353" w:rsidRDefault="00053353" w:rsidP="00053353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</w:p>
    <w:p w:rsidR="00053353" w:rsidRDefault="00053353" w:rsidP="00053353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  <w:r w:rsidRPr="00053353"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i la prise BID est nécessaire : </w:t>
      </w:r>
      <w:r w:rsidRPr="00053353">
        <w:rPr>
          <w:rFonts w:ascii="Century Gothic" w:eastAsia="Century Gothic" w:hAnsi="Century Gothic" w:cs="Century Gothic"/>
          <w:sz w:val="22"/>
          <w:szCs w:val="22"/>
        </w:rPr>
        <w:t>Prendre la 1</w:t>
      </w:r>
      <w:r w:rsidRPr="00053353">
        <w:rPr>
          <w:rFonts w:ascii="Century Gothic" w:eastAsia="Century Gothic" w:hAnsi="Century Gothic" w:cs="Century Gothic"/>
          <w:sz w:val="22"/>
          <w:szCs w:val="22"/>
          <w:vertAlign w:val="superscript"/>
        </w:rPr>
        <w:t>ère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dose d</w:t>
      </w:r>
      <w:r w:rsidRPr="00053353">
        <w:rPr>
          <w:rFonts w:ascii="Century Gothic" w:eastAsia="Century Gothic" w:hAnsi="Century Gothic" w:cs="Century Gothic"/>
          <w:sz w:val="22"/>
          <w:szCs w:val="22"/>
        </w:rPr>
        <w:t>’anti-H</w:t>
      </w:r>
      <w:bookmarkStart w:id="0" w:name="_GoBack"/>
      <w:r w:rsidRPr="0058384A">
        <w:rPr>
          <w:rFonts w:ascii="Century Gothic" w:eastAsia="Century Gothic" w:hAnsi="Century Gothic" w:cs="Century Gothic"/>
          <w:sz w:val="22"/>
          <w:szCs w:val="22"/>
          <w:vertAlign w:val="subscript"/>
        </w:rPr>
        <w:t>2</w:t>
      </w:r>
      <w:bookmarkEnd w:id="0"/>
      <w:r w:rsidRPr="00053353">
        <w:rPr>
          <w:rFonts w:ascii="Century Gothic" w:eastAsia="Century Gothic" w:hAnsi="Century Gothic" w:cs="Century Gothic"/>
          <w:sz w:val="22"/>
          <w:szCs w:val="22"/>
        </w:rPr>
        <w:t xml:space="preserve"> 4 heures après la prise de </w:t>
      </w:r>
      <w:proofErr w:type="spellStart"/>
      <w:r w:rsidRPr="00053353"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 w:rsidRPr="00053353">
        <w:rPr>
          <w:rFonts w:ascii="Century Gothic" w:eastAsia="Century Gothic" w:hAnsi="Century Gothic" w:cs="Century Gothic"/>
          <w:sz w:val="22"/>
          <w:szCs w:val="22"/>
        </w:rPr>
        <w:t>, et la 2</w:t>
      </w:r>
      <w:r w:rsidRPr="00053353">
        <w:rPr>
          <w:rFonts w:ascii="Century Gothic" w:eastAsia="Century Gothic" w:hAnsi="Century Gothic" w:cs="Century Gothic"/>
          <w:sz w:val="22"/>
          <w:szCs w:val="22"/>
          <w:vertAlign w:val="superscript"/>
        </w:rPr>
        <w:t>e</w:t>
      </w:r>
      <w:r w:rsidRPr="00053353">
        <w:rPr>
          <w:rFonts w:ascii="Century Gothic" w:eastAsia="Century Gothic" w:hAnsi="Century Gothic" w:cs="Century Gothic"/>
          <w:sz w:val="22"/>
          <w:szCs w:val="22"/>
        </w:rPr>
        <w:t xml:space="preserve"> dose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 w:rsidRPr="00053353">
        <w:rPr>
          <w:rFonts w:ascii="Century Gothic" w:eastAsia="Century Gothic" w:hAnsi="Century Gothic" w:cs="Century Gothic"/>
          <w:sz w:val="22"/>
          <w:szCs w:val="22"/>
        </w:rPr>
        <w:t>’anti-H</w:t>
      </w:r>
      <w:r w:rsidRPr="0058384A">
        <w:rPr>
          <w:rFonts w:ascii="Century Gothic" w:eastAsia="Century Gothic" w:hAnsi="Century Gothic" w:cs="Century Gothic"/>
          <w:sz w:val="22"/>
          <w:szCs w:val="22"/>
          <w:vertAlign w:val="subscript"/>
        </w:rPr>
        <w:t>2</w:t>
      </w:r>
      <w:r w:rsidRPr="00053353">
        <w:rPr>
          <w:rFonts w:ascii="Century Gothic" w:eastAsia="Century Gothic" w:hAnsi="Century Gothic" w:cs="Century Gothic"/>
          <w:sz w:val="22"/>
          <w:szCs w:val="22"/>
        </w:rPr>
        <w:t xml:space="preserve"> 12 heures avant la prochaine dose de </w:t>
      </w:r>
      <w:proofErr w:type="spellStart"/>
      <w:r w:rsidRPr="00053353"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 w:rsidRPr="00053353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273F65" w:rsidRDefault="00273F6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7B08B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Solution de rechange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: </w:t>
      </w:r>
    </w:p>
    <w:p w:rsidR="00F0353B" w:rsidRPr="00053353" w:rsidRDefault="005643F4" w:rsidP="000533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jv1o8edln29f" w:colFirst="0" w:colLast="0"/>
      <w:bookmarkEnd w:id="1"/>
      <w:r>
        <w:rPr>
          <w:rFonts w:ascii="Century Gothic" w:eastAsia="Century Gothic" w:hAnsi="Century Gothic" w:cs="Century Gothic"/>
          <w:sz w:val="22"/>
          <w:szCs w:val="22"/>
        </w:rPr>
        <w:t xml:space="preserve">Voir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+ antiacides</w:t>
      </w:r>
    </w:p>
    <w:p w:rsidR="00F0353B" w:rsidRDefault="00F0353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B70A42" w:rsidRDefault="007B08B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Suggestion de la pharmacie ou nouvelle prescription : </w:t>
      </w:r>
    </w:p>
    <w:p w:rsidR="00B70A42" w:rsidRDefault="00B70A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B70A42">
        <w:tc>
          <w:tcPr>
            <w:tcW w:w="9396" w:type="dxa"/>
          </w:tcPr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Date : _____/_____/_____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Patient(e) : ________________________          DDN : _____/_____/_____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# Téléphone : _____________________________</w:t>
            </w:r>
          </w:p>
        </w:tc>
      </w:tr>
      <w:tr w:rsidR="00B70A42">
        <w:tc>
          <w:tcPr>
            <w:tcW w:w="9396" w:type="dxa"/>
          </w:tcPr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 : </w:t>
            </w: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Renouvellement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: _____</w:t>
            </w: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Médecin : __________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Numéro de pratique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: __________    Signature : __________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Adresse : ____________________________________________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#Téléphone : ____________________     #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Téléccopieur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: ________________</w:t>
            </w:r>
          </w:p>
        </w:tc>
      </w:tr>
      <w:tr w:rsidR="00B70A42">
        <w:tc>
          <w:tcPr>
            <w:tcW w:w="9396" w:type="dxa"/>
          </w:tcPr>
          <w:p w:rsidR="00B70A42" w:rsidRDefault="007B08B5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Certification du prescripteur </w:t>
            </w:r>
          </w:p>
          <w:p w:rsidR="00B70A42" w:rsidRDefault="007B08B5">
            <w:pP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Je certifie que : </w:t>
            </w:r>
          </w:p>
          <w:p w:rsidR="00B70A42" w:rsidRDefault="007B08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cette ordonnance est une ordonnance originale, </w:t>
            </w:r>
          </w:p>
          <w:p w:rsidR="00B70A42" w:rsidRDefault="007B08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le pharmacien identifié précité est le seul destinataire, </w:t>
            </w:r>
          </w:p>
          <w:p w:rsidR="00B70A42" w:rsidRDefault="007B08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l’original ne sera pas réutilisé.</w:t>
            </w:r>
          </w:p>
        </w:tc>
      </w:tr>
    </w:tbl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Veuillez svp nous faire parvenir une copie de cette page avec votre conduite à tenir.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Si vous avez besoin d’information complémentaire, n’hésitez pas à communiquer avec moi.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Cordialement,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Pharmacie : ____________________</w:t>
      </w: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#Télécopieur : ____________________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15ABE" w:rsidRDefault="00E15ABE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15ABE" w:rsidRDefault="00E15ABE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15ABE" w:rsidRDefault="00E15ABE" w:rsidP="00E15ABE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E15ABE" w:rsidRDefault="00E15ABE" w:rsidP="00E15ABE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15ABE" w:rsidRDefault="00E15ABE" w:rsidP="00E15ABE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Edurant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), Janssen Inc., Ontario, Canada, 4 mars 2019.</w:t>
      </w:r>
    </w:p>
    <w:p w:rsidR="00E15ABE" w:rsidRDefault="00E15ABE" w:rsidP="0032354D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DF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Complera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 Inc., Ontario, Canada, </w:t>
      </w:r>
      <w:r w:rsidR="0032354D" w:rsidRPr="0032354D">
        <w:rPr>
          <w:rFonts w:ascii="Century Gothic" w:eastAsia="Century Gothic" w:hAnsi="Century Gothic" w:cs="Century Gothic"/>
          <w:sz w:val="22"/>
          <w:szCs w:val="22"/>
        </w:rPr>
        <w:t>17 octobre 2019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E15ABE" w:rsidRDefault="00E15ABE" w:rsidP="0032354D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Odefsey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 Inc., Ontario, Canada, </w:t>
      </w:r>
      <w:r w:rsidR="0032354D" w:rsidRPr="0032354D">
        <w:rPr>
          <w:rFonts w:ascii="Century Gothic" w:eastAsia="Century Gothic" w:hAnsi="Century Gothic" w:cs="Century Gothic"/>
          <w:sz w:val="22"/>
          <w:szCs w:val="22"/>
        </w:rPr>
        <w:t>13 novembre 2019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E15ABE" w:rsidRDefault="00E15ABE" w:rsidP="00E15ABE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Monographie 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: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proofErr w:type="gram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Soins de santé ULC, Québec, Canada, </w:t>
      </w:r>
      <w:r w:rsidR="0032354D">
        <w:rPr>
          <w:rFonts w:ascii="Century Gothic" w:eastAsia="Century Gothic" w:hAnsi="Century Gothic" w:cs="Century Gothic"/>
          <w:sz w:val="22"/>
          <w:szCs w:val="22"/>
        </w:rPr>
        <w:t>19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août 20</w:t>
      </w:r>
      <w:r w:rsidR="0032354D">
        <w:rPr>
          <w:rFonts w:ascii="Century Gothic" w:eastAsia="Century Gothic" w:hAnsi="Century Gothic" w:cs="Century Gothic"/>
          <w:sz w:val="22"/>
          <w:szCs w:val="22"/>
        </w:rPr>
        <w:t>21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D0D19" w:rsidRPr="0080500E" w:rsidRDefault="0080500E" w:rsidP="0080500E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80500E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Van </w:t>
      </w:r>
      <w:proofErr w:type="spellStart"/>
      <w:r w:rsidRPr="0080500E">
        <w:rPr>
          <w:rFonts w:ascii="Century Gothic" w:eastAsia="Century Gothic" w:hAnsi="Century Gothic" w:cs="Century Gothic"/>
          <w:sz w:val="22"/>
          <w:szCs w:val="22"/>
          <w:lang w:val="en-CA"/>
        </w:rPr>
        <w:t>Heeswijk</w:t>
      </w:r>
      <w:proofErr w:type="spellEnd"/>
      <w:r w:rsidRPr="0080500E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RP, </w:t>
      </w:r>
      <w:proofErr w:type="spellStart"/>
      <w:r w:rsidRPr="0080500E">
        <w:rPr>
          <w:rFonts w:ascii="Century Gothic" w:eastAsia="Century Gothic" w:hAnsi="Century Gothic" w:cs="Century Gothic"/>
          <w:sz w:val="22"/>
          <w:szCs w:val="22"/>
          <w:lang w:val="en-CA"/>
        </w:rPr>
        <w:t>Hoetelmans</w:t>
      </w:r>
      <w:proofErr w:type="spellEnd"/>
      <w:r w:rsidRPr="0080500E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RM, </w:t>
      </w:r>
      <w:proofErr w:type="spellStart"/>
      <w:r w:rsidRPr="0080500E">
        <w:rPr>
          <w:rFonts w:ascii="Century Gothic" w:eastAsia="Century Gothic" w:hAnsi="Century Gothic" w:cs="Century Gothic"/>
          <w:sz w:val="22"/>
          <w:szCs w:val="22"/>
          <w:lang w:val="en-CA"/>
        </w:rPr>
        <w:t>Kestens</w:t>
      </w:r>
      <w:proofErr w:type="spellEnd"/>
      <w:r w:rsidRPr="0080500E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D, et al. The pharmacokinetic (PK) interaction between famotidine and TMC278, a next generation non-nucleoside reverse transcriptase inhibitor (NNRTI), in HIV-negative volunteers. 4th IAS Conference on HIV Pathogenesis, Treatment and Prevention, July 22-25 2007, Sydn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t>ey, Australia, abstract TUPDB01</w:t>
      </w:r>
      <w:r w:rsidR="00CD0D19" w:rsidRPr="0080500E">
        <w:rPr>
          <w:rFonts w:ascii="Century Gothic" w:eastAsia="Century Gothic" w:hAnsi="Century Gothic" w:cs="Century Gothic"/>
          <w:sz w:val="22"/>
          <w:szCs w:val="22"/>
          <w:lang w:val="en-CA"/>
        </w:rPr>
        <w:t>.</w:t>
      </w:r>
    </w:p>
    <w:p w:rsidR="00E15ABE" w:rsidRDefault="00E15ABE" w:rsidP="00E15ABE">
      <w:pPr>
        <w:numPr>
          <w:ilvl w:val="0"/>
          <w:numId w:val="9"/>
        </w:numPr>
        <w:ind w:left="714" w:hanging="357"/>
        <w:contextualSpacing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Guide thérapeutique VIH. 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>http://www.guidetherapeutiquevih.com</w:t>
      </w:r>
    </w:p>
    <w:p w:rsidR="00E15ABE" w:rsidRDefault="00E15ABE" w:rsidP="00E15ABE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B70A42" w:rsidRPr="00E15ABE" w:rsidRDefault="00B70A42" w:rsidP="00E15ABE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sectPr w:rsidR="00B70A42" w:rsidRPr="00E15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4E" w:rsidRDefault="00B1584E">
      <w:r>
        <w:separator/>
      </w:r>
    </w:p>
  </w:endnote>
  <w:endnote w:type="continuationSeparator" w:id="0">
    <w:p w:rsidR="00B1584E" w:rsidRDefault="00B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15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hyperlink r:id="rId1">
      <w:r w:rsidR="007B08B5">
        <w:rPr>
          <w:color w:val="0563C1"/>
          <w:u w:val="single"/>
        </w:rPr>
        <w:t>www.guidetherapeutiqueVIH.com</w:t>
      </w:r>
    </w:hyperlink>
    <w:r w:rsidR="007B08B5">
      <w:rPr>
        <w:color w:val="000000"/>
      </w:rPr>
      <w:t xml:space="preserve">  </w:t>
    </w:r>
    <w:r w:rsidR="007B08B5">
      <w:t xml:space="preserve">                                                                              </w:t>
    </w:r>
    <w:r w:rsidR="0032354D">
      <w:t>Novembre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4E" w:rsidRDefault="00B1584E">
      <w:r>
        <w:separator/>
      </w:r>
    </w:p>
  </w:footnote>
  <w:footnote w:type="continuationSeparator" w:id="0">
    <w:p w:rsidR="00B1584E" w:rsidRDefault="00B1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F94"/>
    <w:multiLevelType w:val="multilevel"/>
    <w:tmpl w:val="4F34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641"/>
    <w:multiLevelType w:val="multilevel"/>
    <w:tmpl w:val="EF6EF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5E19"/>
    <w:multiLevelType w:val="multilevel"/>
    <w:tmpl w:val="6F44F2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1609D3"/>
    <w:multiLevelType w:val="multilevel"/>
    <w:tmpl w:val="32B0DD0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4EF70E5F"/>
    <w:multiLevelType w:val="multilevel"/>
    <w:tmpl w:val="11C0769C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F4B"/>
    <w:multiLevelType w:val="multilevel"/>
    <w:tmpl w:val="7CC6315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955EB5"/>
    <w:multiLevelType w:val="multilevel"/>
    <w:tmpl w:val="220C801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2B35D6"/>
    <w:multiLevelType w:val="multilevel"/>
    <w:tmpl w:val="2CBED6B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ED74EF6"/>
    <w:multiLevelType w:val="multilevel"/>
    <w:tmpl w:val="1056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A42"/>
    <w:rsid w:val="00053353"/>
    <w:rsid w:val="000F5795"/>
    <w:rsid w:val="00273F65"/>
    <w:rsid w:val="0032354D"/>
    <w:rsid w:val="00474890"/>
    <w:rsid w:val="005643F4"/>
    <w:rsid w:val="0058384A"/>
    <w:rsid w:val="005F1EF9"/>
    <w:rsid w:val="00624C8C"/>
    <w:rsid w:val="007B08B5"/>
    <w:rsid w:val="007F22F0"/>
    <w:rsid w:val="0080500E"/>
    <w:rsid w:val="00A20DE0"/>
    <w:rsid w:val="00B1584E"/>
    <w:rsid w:val="00B70A42"/>
    <w:rsid w:val="00C70CE7"/>
    <w:rsid w:val="00CD0D19"/>
    <w:rsid w:val="00D31941"/>
    <w:rsid w:val="00E15ABE"/>
    <w:rsid w:val="00F0353B"/>
    <w:rsid w:val="00F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C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C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Pichette</dc:creator>
  <cp:lastModifiedBy>Claude</cp:lastModifiedBy>
  <cp:revision>4</cp:revision>
  <dcterms:created xsi:type="dcterms:W3CDTF">2021-11-21T13:18:00Z</dcterms:created>
  <dcterms:modified xsi:type="dcterms:W3CDTF">2021-11-21T14:10:00Z</dcterms:modified>
</cp:coreProperties>
</file>